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AgrarservMeistPrV</w:t>
      </w:r>
    </w:p>
    <w:p>
      <w:r>
        <w:rPr>
          <w:color w:val="555555"/>
          <w:sz w:val="18"/>
        </w:rPr>
        <w:t xml:space="preserve">Agrarservicemeisterprüfungsverordnung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3 in Verbindung mit Absatz 2 des Berufsbildungsgesetzes, dessen Absatz 3 durch Artikel 232 Nummer 3 Buchstabe b der Verordnung vom 31. Oktober 2006 (BGBl. I S. 2407) geändert worden ist, verordnet das Bundesministerium für Ernährung, Landwirtschaft und Verbraucherschutz im Einvernehmen mit dem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AgrarservMeistPrV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https://recht.nulegal.eu/gesetze/AgrarservMeistPrV/eingangsformel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