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AgrarZahlVerpflV — Kontrollvorschriften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Artikel 68 Absatz 1 Unterabsatz 4 Satz 2 der Durchführungsverordnung (EU) Nr. 809/2014 der Kommission vom 17. Juli 2014 mit Durchführungsbestimmungen zur Verordnung (EU) Nr. 1306/2013 des Europäischen Parlaments und des Rates hinsichtlich des integrierten Verwaltungs- und Kontrollsystems, der Maßnahmen zur Entwicklung des ländlichen Raums und der Cross-Compliance (ABl. L 227 vom 31.7.2014, S. 69) in der jeweils geltenden Fassung ist anzuwenden.</w:t>
      </w:r>
    </w:p>
    <w:p>
      <w:r>
        <w:t xml:space="preserve">(2) Enthält der Kontrollbericht im Sinne von Artikel 72 Absatz 1 der Durchführungsverordnung (EU) Nr. 809/2014 keine Feststellungen, so ist es nicht erforderlich, den Bericht unter den Voraussetzungen des Artikels 72 Absatz 4 Unterabsatz 3 der Durchführungsverordnung (EU) Nr. 809/2014 zu übermitteln.</w:t>
      </w:r>
    </w:p>
    <w:p>
      <w:r>
        <w:rPr>
          <w:color w:val="555555"/>
          <w:sz w:val="17"/>
        </w:rPr>
        <w:t xml:space="preserve">Zitiervorschlag: § 9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