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AgrarZahlVerpflV — Schaffung von Pufferzonen entlang von Wasserläufen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05.05.2020 (konsolidierte Textfassung, kein amtliches Inkrafttretensdatum)</w:t>
      </w:r>
    </w:p>
    <w:p>
      <w:r>
        <w:t xml:space="preserve">Wer landwirtschaftliche Flächen entlang von Wasserläufen bewirtschaftet, hat zur Erhaltung des guten landwirtschaftlichen und ökologischen Zustands die Anforderungen des § 5 Absatz 2 Satz 1 Nummer 1 in Verbindung mit Satz 2, Absatz 2 Satz 3 und 4 und Absatz 3, jeweils in Verbindung mit Absatz 4, der Düngeverordnung zu beachten, soweit sich die Anforderungen auf stickstoffhaltige Düngemittel beziehen. Soweit die Landesregierungen durch Rechtsverordnungen nach § 13a Absatz 3 der Düngeverordnung von den in Satz 1 genannten Anforderungen abweichende Anforderungen vorschreiben oder durch Rechtsverordnungen nach § 13 Absatz 2 Satz 1 in Verbindung mit Satz 4 Nummer 5 der Düngeverordnung in der bis zum 30. April 2020 geltenden Fassung abweichende Vorschriften erlassen haben, die sich jeweils auf stickstoffhaltige Düngemittel beziehen, sind abweichend von Satz 1 die Anforderungen nach Landesrecht zu beachten.</w:t>
      </w:r>
    </w:p>
    <w:p>
      <w:r>
        <w:rPr>
          <w:color w:val="555555"/>
          <w:sz w:val="17"/>
        </w:rPr>
        <w:t xml:space="preserve">Zitiervorschlag: § 2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