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AgrarZahlVerpflV — Inkrafttreten, Außerkrafttreten</w:t>
      </w:r>
    </w:p>
    <w:p>
      <w:r>
        <w:rPr>
          <w:color w:val="555555"/>
          <w:sz w:val="18"/>
        </w:rPr>
        <w:t xml:space="preserve">Agrarzahlungen-Verpflichtungenverordnung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2015 in Kraft. Gleichzeitig tritt die Direktzahlungen-Verpflichtungenverordnung vom 4. November 2004 (BGBl. I S. 2778), die zuletzt durch Artikel 1 der Verordnung vom 3. Januar 2014 (BAnz AT 06.01.2014 V1) geändert worden ist, außer Kraft.</w:t>
      </w:r>
    </w:p>
    <w:p>
      <w:r>
        <w:rPr>
          <w:color w:val="555555"/>
          <w:sz w:val="17"/>
        </w:rPr>
        <w:t xml:space="preserve">Zitiervorschlag: § 11 AgrarZahlVerpflV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https://recht.nulegal.eu/gesetze/AgrarZahlVerpflV/11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