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AgrarZahlVerpflV — Übergangsregelungen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Erlass einer Rechtsverordnung nach § 6 Absatz 1 Satz 2, auch in Verbindung mit Absatz 6, sind die auf Grund des § 2 Absatz 1 Satz 2 in Verbindung mit § 5 Absatz 1 Satz 1 Nummer 2 und Absatz 4 des Direktzahlungen-Verpflichtungengesetzes und in Verbindung mit § 2 Absatz 1 und 7 der Direktzahlungen-Verpflichtungenverordnung erlassenen landesrechtlichen Regelungen längstens bis zum Ablauf des 31. Dezember 2015 weiter anzuwenden.</w:t>
      </w:r>
    </w:p>
    <w:p>
      <w:r>
        <w:t xml:space="preserve">(2) Bis zum Erlass einer Rechtsverordnung nach § 8 Absatz 4 sind die auf Grund des § 2 Absatz 2 in Verbindung mit § 5 Absatz 1 Satz 1 Nummer 4 des Direktzahlungen-Verpflichtungengesetzes und in Verbindung mit § 5 Absatz 1 und 4 der Direktzahlungen-Verpflichtungenverordnung erlassenen landesrechtlichen Regelungen längstens bis zum Ablauf des 31. Dezember 2015 anzuwenden.</w:t>
      </w:r>
    </w:p>
    <w:p>
      <w:r>
        <w:t xml:space="preserve">(3) Soweit nach § 6 Absatz 1 Satz 2, auch in Verbindung mit Absatz 6, eine landesrechtliche Regelung erlassen wird, ist Absatz 1 insoweit nicht mehr anzuwenden.</w:t>
      </w:r>
    </w:p>
    <w:p>
      <w:r>
        <w:t xml:space="preserve">(4) Soweit nach § 8 Absatz 4 eine landesrechtliche Regelung erlassen wird, ist Absatz 2 nicht mehr anzuwenden.</w:t>
      </w:r>
    </w:p>
    <w:p>
      <w:r>
        <w:rPr>
          <w:color w:val="555555"/>
          <w:sz w:val="17"/>
        </w:rPr>
        <w:t xml:space="preserve">Zitiervorschlag: § 10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