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AgrarZahlVerpflV — Anwendungsbereich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Anforderungen an die Erhaltung von Flächen in gutem landwirtschaftlichen und ökologischen Zustand im Sinne von Artikel 93 Absatz 1 in Verbindung mit Anhang II der Verordnung (EU) Nr. 1306/2013 des Europäischen Parlaments und des Rates vom 17. Dezember 2013 über die Finanzierung, die Verwaltung und das Kontrollsystem der Gemeinsamen Agrarpolitik und zur Aufhebung der Verordnungen (EWG) Nr. 352/78, (EG) Nr. 165/94, (EG) Nr. 2799/98, (EG) Nr. 814/2000, (EG) Nr. 1290/2005 und (EG) Nr. 485/2008 des Rates (ABl. L 347 vom 20.12.2013, S. 549) in der jeweils geltenden Fassung, die von dem Begünstigten im Sinne von Artikel 92 Satz 1 der Verordnung (EU) Nr. 1306/2013 (Begünstigter) einzuhalten sind, sowie</w:t>
      </w:r>
    </w:p>
    <w:p>
      <w:pPr>
        <w:ind w:left="420"/>
      </w:pPr>
      <w:r>
        <w:t xml:space="preserve">2. die Einzelheiten zur Kontrolle und Sanktionierung der Anforderungen und Standards nach Nummer 1 und nach Artikel 93 Absatz 1 bis 3 in Verbindung mit Anhang II der Verordnung (EU) Nr. 1306/2013.</w:t>
      </w:r>
    </w:p>
    <w:p>
      <w:r>
        <w:rPr>
          <w:color w:val="555555"/>
          <w:sz w:val="17"/>
        </w:rPr>
        <w:t xml:space="preserve">Zitiervorschlag: § 1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