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AgrarZahlVerpflG — Anwendung des Integrierten Verwaltungs- und Kontrollsystems</w:t>
      </w:r>
    </w:p>
    <w:p>
      <w:r>
        <w:rPr>
          <w:color w:val="555555"/>
          <w:sz w:val="18"/>
        </w:rPr>
        <w:t xml:space="preserve">Agrarzahlungen-Verpflichtungengesetz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Integrierte Verwaltungs- und Kontrollsystem nach Titel V Kapitel II der Verordnung (EU) Nr. 1306/2013 und insbesondere die Bestandteile des Systems nach Artikel 68 Absatz 1 Buchstabe a, b, d, e und f der Verordnung (EU) Nr. 1306/2013 werden zum Zwecke der Kontrolle der Vorgaben aus Artikel 96 Absatz 1 der Verordnung (EU) Nr. 1306/2013 angewendet.</w:t>
      </w:r>
    </w:p>
    <w:p>
      <w:r>
        <w:t xml:space="preserve">(2) Artikel 97 Absatz 3 der Verordnung (EU) Nr. 1306/2013 ist nicht anzuwenden.</w:t>
      </w:r>
    </w:p>
    <w:p>
      <w:r>
        <w:t xml:space="preserve">(3) Die zuständigen Behörden richten ein Frühwarnsystem nach Artikel 99 Absatz 2 Unterabsatz 2 bis 4 der Verordnung (EU) Nr. 1306/2013 in Verbindung mit Artikel 39 Absatz 3 der Delegierten Verordnung (EU) Nr. 640/2014 der Kommission vom 11. März 2014 zur Ergänzung der Verordnung (EU) Nr. 1306/2013 des Europäischen Parlaments und des Rates in Bezug auf das integrierte Verwaltungs- und Kontrollsystem und die Bedingungen für die Ablehnung oder Rücknahme von Zahlungen sowie für Verwaltungssanktionen im Rahmen von Direktzahlungen, Entwicklungsmaßnahmen für den ländlichen Raum und der Cross-Compliance (ABl. L 181 vom 20.6.2014, S. 48) ein.</w:t>
      </w:r>
    </w:p>
    <w:p>
      <w:r>
        <w:t xml:space="preserve">(4) Verwaltungskontrollen im Sinne des Artikels 96 Absatz 2 der Verordnung (EU) Nr. 1306/2013 sind nicht durchzuführen.</w:t>
      </w:r>
    </w:p>
    <w:p>
      <w:r>
        <w:rPr>
          <w:color w:val="555555"/>
          <w:sz w:val="17"/>
        </w:rPr>
        <w:t xml:space="preserve">Zitiervorschlag: § 5 AgrarZahlVerpflG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https://recht.nulegal.eu/gesetze/AgrarZahlVerpflG/5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