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AgrarZahlVerpflG — Grundanforderungen an die Betriebsführung, Erhaltung von Flächen in gutem landwirtschaftlichen und ökologischen Zustand</w:t>
      </w:r>
    </w:p>
    <w:p>
      <w:r>
        <w:rPr>
          <w:color w:val="555555"/>
          <w:sz w:val="18"/>
        </w:rPr>
        <w:t xml:space="preserve">Agrarzahlungen-Verpflichtungengesetz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Begünstigter im Sinne des Artikels 92 Satz 1 der Verordnung (EU) Nr. 1306/2013 (Begünstigter) ist verpflichtet,</w:t>
      </w:r>
    </w:p>
    <w:p>
      <w:pPr>
        <w:ind w:left="420"/>
      </w:pPr>
      <w:r>
        <w:t xml:space="preserve">1. seinen Betrieb im Sinne des Artikels 91 Absatz 3 Buchstabe a der Verordnung (EU) Nr. 1306/2013 (Betrieb) nach den in Artikel 93 Absatz 1 und 2 in Verbindung mit Anhang II der Verordnung (EU) Nr. 1306/2013 mit der Angabe „GAB“ bezeichneten Grundanforderungen an die Betriebsführung zu führen und</w:t>
      </w:r>
    </w:p>
    <w:p>
      <w:pPr>
        <w:ind w:left="420"/>
      </w:pPr>
      <w:r>
        <w:t xml:space="preserve">2. nach Maßgabe einer Rechtsverordnung nach § 4 Absatz 1 Nummer 2 Maßnahmen zu ergreifen, um die in Artikel 93 Absatz 1 und Artikel 94 in Verbindung mit Anhang II der Verordnung (EU) Nr. 1306/2013 mit der Angabe „GLÖZ“ bezeichneten Standards für die Erhaltung von Flächen in gutem landwirtschaftlichen und ökologischen Zustand einzuhalten.</w:t>
      </w:r>
    </w:p>
    <w:p>
      <w:r>
        <w:t xml:space="preserve">(2) Die zuständigen Behörden der Länder übermitteln dem Begünstigten die nach Artikel 95 der Verordnung (EU) Nr. 1306/2013 notwendigen Informationen.</w:t>
      </w:r>
    </w:p>
    <w:p>
      <w:r>
        <w:t xml:space="preserve">(3) Die für die Überwachung der Einhaltung der in Absatz 1 bezeichneten Verpflichtungen zuständigen Behörden (Fachüberwachungsbehörden) können</w:t>
      </w:r>
    </w:p>
    <w:p>
      <w:pPr>
        <w:ind w:left="420"/>
      </w:pPr>
      <w:r>
        <w:t xml:space="preserve">1. aus Gründen des Naturschutzes,</w:t>
      </w:r>
    </w:p>
    <w:p>
      <w:pPr>
        <w:ind w:left="420"/>
      </w:pPr>
      <w:r>
        <w:t xml:space="preserve">2. aus Gründen des Pflanzenschutzes,</w:t>
      </w:r>
    </w:p>
    <w:p>
      <w:pPr>
        <w:ind w:left="420"/>
      </w:pPr>
      <w:r>
        <w:t xml:space="preserve">3. um die Errichtung einer baulichen Anlage zu ermöglichen,</w:t>
      </w:r>
    </w:p>
    <w:p>
      <w:pPr>
        <w:ind w:left="420"/>
      </w:pPr>
      <w:r>
        <w:t xml:space="preserve">4. aus zwingenden Gründen des überwiegenden öffentlichen Interesses,</w:t>
      </w:r>
    </w:p>
    <w:p>
      <w:pPr>
        <w:ind w:left="420"/>
      </w:pPr>
      <w:r>
        <w:t xml:space="preserve">5. im Rahmen der Flurneuordnung oder</w:t>
      </w:r>
    </w:p>
    <w:p>
      <w:pPr>
        <w:ind w:left="420"/>
      </w:pPr>
      <w:r>
        <w:t xml:space="preserve">6. aus anderen wichtigen Gründen</w:t>
      </w:r>
    </w:p>
    <w:p>
      <w:r>
        <w:t xml:space="preserve">Ausnahmen von den Verpflichtungen nach Absatz 1 genehmigen. Ausnahmen im Sinne des Satzes 1 Nummer 2 bis 6 dürfen nicht gewährt werden, soweit wichtige Belange des Naturschutzes oder des Umweltschutzes entgegenstehen.</w:t>
      </w:r>
    </w:p>
    <w:p>
      <w:r>
        <w:t xml:space="preserve">(4) Ein Begünstigter ist von der Einhaltung der Verpflichtungen nach Absatz 1 insoweit hinsichtlich einzelner landwirtschaftlicher Flächen befreit, als ihm das Einhalten der Verpflichtungen auf Grund einer behördlichen Anordnung im Rahmen eines Verwaltungsverfahrens oder eines behördlichen Planungsverfahrens nicht möglich ist.</w:t>
      </w:r>
    </w:p>
    <w:p>
      <w:r>
        <w:rPr>
          <w:color w:val="555555"/>
          <w:sz w:val="17"/>
        </w:rPr>
        <w:t xml:space="preserve">Zitiervorschlag: § 2 AgrarZahlVerpflG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