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AgrarZahlVerpflG — Anwendungsbereich</w:t>
      </w:r>
    </w:p>
    <w:p>
      <w:r>
        <w:rPr>
          <w:color w:val="555555"/>
          <w:sz w:val="18"/>
        </w:rPr>
        <w:t xml:space="preserve">Agrarzahlungen-Verpflichtungengesetz</w:t>
      </w:r>
    </w:p>
    <w:p>
      <w:r>
        <w:rPr>
          <w:color w:val="555555"/>
          <w:sz w:val="18"/>
        </w:rPr>
        <w:t xml:space="preserve">Stand: 10.06.2019 (konsolidierte Textfassung, kein amtliches Inkrafttretensdatum)</w:t>
      </w:r>
    </w:p>
    <w:p>
      <w:r>
        <w:t xml:space="preserve">(1) Dieses Gesetz dient der Durchführung des Titels VI der Verordnung (EU) Nr. 1306/2013 des Europäischen Parlaments und des Rates vom 17. Dezember 2013 über die Finanzierung, die Verwaltung und das Kontrollsystem der Gemeinsamen Agrarpolitik und zur Aufhebung der Verordnungen (EWG) Nr. 352/78, (EG) Nr. 165/94, (EG) Nr. 2799/98, (EG) Nr. 814/2000, (EG) Nr. 1290/2005 und (EG) Nr. 485/2008 des Rates (ABl. L 347 vom 20.12.2013, S. 549) in der jeweils geltenden Fassung und der im Rahmen dieser Verordnung oder zu ihrer Durchführung erlassenen Rechtsakte der Europäischen Union.</w:t>
      </w:r>
    </w:p>
    <w:p>
      <w:r>
        <w:t xml:space="preserve">(2) Dieses Gesetz ist nach Maßgabe der Sätze 2 und 3 ein Gesetz im Sinne des § 1 Absatz 2 Nummer 4 des Marktorganisationsgesetzes, soweit</w:t>
      </w:r>
    </w:p>
    <w:p>
      <w:pPr>
        <w:ind w:left="420"/>
      </w:pPr>
      <w:r>
        <w:t xml:space="preserve">1. Stützungsregelungen im Sinne des Anhangs I der Verordnung (EU) Nr. 1307/2013 des Europäischen Parlaments und des Rates vom 17. Dezember 2013 mit Vorschriften über Direktzahlungen an Inhaber landwirtschaftlicher Betriebe im Rahmen von Stützungsregelungen der Gemeinsamen Agrarpolitik und zur Aufhebung der Verordnung (EG) Nr. 637/2008 des Rates und der Verordnung (EG) Nr. 73/2009 des Rates (ABl. L 347 vom 20.12.2013, S. 608) in der jeweils geltenden Fassung,</w:t>
      </w:r>
    </w:p>
    <w:p>
      <w:pPr>
        <w:ind w:left="420"/>
      </w:pPr>
      <w:r>
        <w:t xml:space="preserve">2. Zahlungen nach Artikel 46 oder 47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der jeweils geltenden Fassung,</w:t>
      </w:r>
    </w:p>
    <w:p>
      <w:pPr>
        <w:ind w:left="420"/>
      </w:pPr>
      <w:r>
        <w:t xml:space="preserve">3. im Rahmen der in den Nummern 1 und 2 bezeichneten Verordnungen erlassene Rechtsakte der Europäischen Union und</w:t>
      </w:r>
    </w:p>
    <w:p>
      <w:pPr>
        <w:ind w:left="420"/>
      </w:pPr>
      <w:r>
        <w:t xml:space="preserve">4. zur Durchführung der in den Nummern 1 und 2 bezeichneten Verordnungen erlassene Rechtsakte der Europäischen Union</w:t>
      </w:r>
    </w:p>
    <w:p>
      <w:r>
        <w:t xml:space="preserve">betroffen sind. Anwendbar sind nur die Vorschriften des Ersten und Zweiten Abschnitts und die §§ 33 und 36 des Marktorganisationsgesetzes, soweit sich diese jeweils auf die Gewährung besonderer Vergünstigungen beziehen. Rechtsverordnungen auf Grund der in Satz 2 bezeichneten Vorschriften können auch erlassen werden, um Regelungen im Sinne des § 1 Absatz 1 sachgerecht durchzuführen, einschließlich der Wahrnehmung der in den in Absatz 1 bezeichneten Rechtsakten der Europäischen Union enthaltenen Optionen für die Mitgliedstaaten, soweit die Ausübung der Optionen für die Durchführung der Regelungen im Sinne des § 1 Absatz 1 sachdienlich ist, es sei denn, in diesem Gesetz wird etwas anderes geregelt.</w:t>
      </w:r>
    </w:p>
    <w:p>
      <w:r>
        <w:t xml:space="preserve">(3) Im Hinblick auf die in Artikel 92 Satz 1 der Verordnung (EU) Nr. 1306/2013 bezeichneten Prämien nach der Verordnung (EU) Nr. 1305/2013 des Europäischen Parlaments und des Rates vom 17. Dezember 2013 über die Förderung der ländlichen Entwicklung durch den Europäischen Landwirtschaftsfonds für die Entwicklung des ländlichen Raums (ELER) und zur Aufhebung der Verordnung (EG) Nr. 1698/2005 (ABl. L 347 vom 20.12.2013, S. 487) in der jeweils geltenden Fassung gilt dieses Gesetz nur, soweit ein Land die jeweilige Prämie gewährt.</w:t>
      </w:r>
    </w:p>
    <w:p>
      <w:r>
        <w:rPr>
          <w:color w:val="555555"/>
          <w:sz w:val="17"/>
        </w:rPr>
        <w:t xml:space="preserve">Zitiervorschlag: § 1 AgrarZahlVerpflG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https://recht.nulegal.eu/gesetze/AgrarZahlVerpflG/1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AgrarZahlVerpflG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