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AgrarOLkV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Das Bundesministerium für Ernährung und Landwirtschaft verordnet auf Grund</w:t>
      </w:r>
    </w:p>
    <w:p>
      <w:pPr>
        <w:ind w:left="420"/>
      </w:pPr>
      <w:r>
        <w:t xml:space="preserve">– des § 2 Absatz 3, des § 4 Absatz 1, im Falle des § 4 Absatz 1 Nummer 1 auch in Verbindung mit § 1 Absatz 2 Satz 1 und § 4 Absatz 2 Satz 1 Nummer 1 sowie im Falle des § 4 Absatz 1 Nummer 2 Buchstabe c Doppelbuchstabe cc auch in Verbindung mit Absatz 2 Satz 1 Nummer 2, des § 5 Absatz 4 Satz 1 Nummer 1 in Verbindung mit Satz 2, des § 5 Absatz 4 Satz 1 Nummer 2 und 3, des § 6 Absatz 2, des § 7 Absatz 1 Satz 1 und 3 in Verbindung mit Absatz 3 Satz 2 und 3, des § 25 Absatz 2, des § 28 Absatz 3, des § 53 Absatz 1 Nummer 1, des § 54 Absatz 1 sowie des § 55 Absatz 3 des Agrarorganisationen-und-Lieferketten-Gesetzes, von denen § 1 Absatz 2 Satz 1, § 2 Absatz 3, § 4, § 5 Absatz 4 Satz 1 Nummer 1 bis 3 und Satz 2, § 6 Absatz 2 sowie § 7 Absatz 1 Satz 1 und 3 sowie Absatz 3 Satz 2 und 3 durch Artikel 1 des Gesetzes vom 2. Juni 2021 (BGBl. I S. 1278) geändert worden sind und § 25 Absatz 2, § 28 Absatz 3, § 53 Absatz 1 Nummer 1, § 54 Absatz 1 Satz 1 und § 55 Absatz 3 durch Artikel 1 des Gesetzes vom 2. Juni 2021 (BGBl. I S. 1278) eingefügt worden sind, im Einvernehmen mit dem Bundesministerium für Wirtschaft und Energie und</w:t>
      </w:r>
    </w:p>
    <w:p>
      <w:pPr>
        <w:ind w:left="420"/>
      </w:pPr>
      <w:r>
        <w:t xml:space="preserve">– des § 3 Absatz 3 und des § 8 Absatz 5 Satz 1 und 3 des Agrarorganisationen-und-Lieferketten-Gesetzes, die durch Artikel 1 des Gesetzes vom 2. Juni 2021 (BGBl. I S. 1278) eingefügt worden sind:</w:t>
      </w:r>
    </w:p>
    <w:p>
      <w:r>
        <w:rPr>
          <w:color w:val="555555"/>
          <w:sz w:val="17"/>
        </w:rPr>
        <w:t xml:space="preserve">Zitiervorschlag: Eingangsformel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