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AgrarOLkV — Inkrafttreten, Außerkrafttreten</w:t>
      </w:r>
    </w:p>
    <w:p>
      <w:r>
        <w:rPr>
          <w:color w:val="555555"/>
          <w:sz w:val="18"/>
        </w:rPr>
        <w:t xml:space="preserve">Agrarorganisationen-und-Lieferketten-Verordnung</w:t>
      </w:r>
    </w:p>
    <w:p>
      <w:r>
        <w:rPr>
          <w:color w:val="555555"/>
          <w:sz w:val="18"/>
        </w:rPr>
        <w:t xml:space="preserve">Stand: 19.10.2021 (konsolidierte Textfassung, kein amtliches Inkrafttretensdatum)</w:t>
      </w:r>
    </w:p>
    <w:p>
      <w:r>
        <w:t xml:space="preserve">Diese Verordnung tritt am Tag nach der Verkündung in Kraft. Gleichzeitig tritt die Agrarmarktstrukturverordnung vom 15. November 2013 (BGBl. I S. 3998), die zuletzt durch Artikel 1 der Verordnung vom 6. August 2020 (BGBl. I S. 1888) geändert worden ist, außer Kraft.</w:t>
      </w:r>
    </w:p>
    <w:p>
      <w:r>
        <w:rPr>
          <w:color w:val="555555"/>
          <w:sz w:val="17"/>
        </w:rPr>
        <w:t xml:space="preserve">Zitiervorschlag: § 35 AgrarOLkV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https://recht.nulegal.eu/gesetze/AgrarOLkV/35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