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AgrarOLkV — Jahresbericht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Die Durchsetzungsbehörde teilt dem Bundesministerium bis zum 20. Februar eines jeden Jahres nach Maßgabe des Artikels 10 Absatz 2 und 3 der Richtlinie (EU) 2019/633 des Europäischen Parlaments und des Rates vom 17. April 2019 über unlautere Handelspraktiken in den Geschäftsbeziehungen zwischen Unternehmen in der Agrar- und Lebensmittelversorgungskette (ABl. L 111 vom 25.4.2019, S. 59) in Verbindung mit den einschlägigen Durchführungsrechtsakten der Kommission mit, wie die Vorschriften des Teils 3 Kapitel 1 des Agrarorganisationen-und-Lieferketten-Gesetzes und der vorliegenden Verordnung im vorausgegangenen Kalenderjahr angewandt und durchgesetzt wurden.</w:t>
      </w:r>
    </w:p>
    <w:p>
      <w:r>
        <w:t xml:space="preserve">(2) Das Bundesministerium übermittelt den Bericht nach Artikel 10 Absatz 2 Satz 1 der Richtlinie (EU) 2019/633.</w:t>
      </w:r>
    </w:p>
    <w:p>
      <w:r>
        <w:rPr>
          <w:color w:val="555555"/>
          <w:sz w:val="17"/>
        </w:rPr>
        <w:t xml:space="preserve">Zitiervorschlag: § 31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