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AgrarOLkV — Allgemeinverbindlichkeit</w:t>
      </w:r>
    </w:p>
    <w:p>
      <w:r>
        <w:rPr>
          <w:color w:val="555555"/>
          <w:sz w:val="18"/>
        </w:rPr>
        <w:t xml:space="preserve">Agrarorganisationen-und-Lieferketten-Verordnung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Abschnitt 4 ist für den Erzeugnisbereich Milch und Milcherzeugnisse anzuwenden.</w:t>
      </w:r>
    </w:p>
    <w:p>
      <w:r>
        <w:rPr>
          <w:color w:val="555555"/>
          <w:sz w:val="17"/>
        </w:rPr>
        <w:t xml:space="preserve">Zitiervorschlag: § 24 AgrarOLkV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https://recht.nulegal.eu/gesetze/AgrarOLkV/24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