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AgrarOLkV — Mitteilungen der Kartellbehörde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Leitet die zuständige Kartellbehörde nach Artikel 149 Absatz 6 oder Artikel 152 Absatz 1c der Verordnung (EU) Nr. 1308/2013 ein Verfahren ein, gilt § 6 Satz 1 entsprechend. Trifft sie in dem Verfahren eine Entscheidung, gilt § 6 Satz 2 und 3 entsprechend.</w:t>
      </w:r>
    </w:p>
    <w:p>
      <w:r>
        <w:t xml:space="preserve">(2) Erlangt die zuständige Kartellbehörde Kenntnis von einem Beschluss der Europäischen Kommission in einem Verfahren nach Artikel 149 Absatz 6 oder Artikel 152 Absatz 1c der Verordnung (EU) Nr. 1308/2013, teilt sie diesen der zuständigen Stelle mit.</w:t>
      </w:r>
    </w:p>
    <w:p>
      <w:r>
        <w:rPr>
          <w:color w:val="555555"/>
          <w:sz w:val="17"/>
        </w:rPr>
        <w:t xml:space="preserve">Zitiervorschlag: § 20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