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AgrarOLkV — Vorzeitige Aufhebung</w:t>
      </w:r>
    </w:p>
    <w:p>
      <w:r>
        <w:rPr>
          <w:color w:val="555555"/>
          <w:sz w:val="18"/>
        </w:rPr>
        <w:t xml:space="preserve">Agrarorganisationen-und-Lieferketten-Verordnung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(1) Die Agrarorganisation hat dem Bundesministerium oder im Falle des § 16 Absatz 3 der zuständigen Behörde des Landes unverzüglich jede für die Erfüllung der Anordnungsvoraussetzungen nach § 5 Absatz 1 und 2 des Agrarorganisationen-und-Lieferketten-Gesetzes maßgebliche Änderung mitzuteilen.</w:t>
      </w:r>
    </w:p>
    <w:p>
      <w:r>
        <w:t xml:space="preserve">(2) Die auf Grund des § 5 Absatz 1, auch in Verbindung mit Absatz 6, des Agrarorganisationen-und-Lieferketten-Gesetzes erlassene Rechtsverordnung ist aufzuheben, wenn</w:t>
      </w:r>
    </w:p>
    <w:p>
      <w:pPr>
        <w:ind w:left="420"/>
      </w:pPr>
      <w:r>
        <w:t xml:space="preserve">1. die Vorschrift, deren Allgemeinverbindlichkeit angeordnet ist, geändert wurde, außer Kraft getreten ist oder sich anderweitig erledigt hat,</w:t>
      </w:r>
    </w:p>
    <w:p>
      <w:pPr>
        <w:ind w:left="420"/>
      </w:pPr>
      <w:r>
        <w:t xml:space="preserve">2. die Voraussetzungen des § 15 nicht mehr vorliegen oder</w:t>
      </w:r>
    </w:p>
    <w:p>
      <w:pPr>
        <w:ind w:left="420"/>
      </w:pPr>
      <w:r>
        <w:t xml:space="preserve">3. die Erfassung der Nichtmitglieder nach überwiegender Wahrscheinlichkeit nicht mehr erforderlich ist, um negative Folgen für den betreffenden Erzeugnisbereich zu vermindern.</w:t>
      </w:r>
    </w:p>
    <w:p>
      <w:r>
        <w:t xml:space="preserve">Eine Aufhebung nach Satz 1 Nummer 2 oder 3 darf nur nach Anhörung der Betroffenen erfolgen.</w:t>
      </w:r>
    </w:p>
    <w:p>
      <w:r>
        <w:rPr>
          <w:color w:val="555555"/>
          <w:sz w:val="17"/>
        </w:rPr>
        <w:t xml:space="preserve">Zitiervorschlag: § 17 AgrarOLkV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https://recht.nulegal.eu/gesetze/AgrarOLkV/17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