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AgrarOLkV — Erzeugnisbereiche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23.04.2025 (konsolidierte Textfassung, kein amtliches Inkrafttretensdatum)</w:t>
      </w:r>
    </w:p>
    <w:p>
      <w:r>
        <w:t xml:space="preserve">(1) Die Bereiche von Agrarerzeugnissen, für die jeweils Agrarorganisationen anerkannt werden können, (Erzeugnisbereiche) sind</w:t>
      </w:r>
    </w:p>
    <w:p>
      <w:pPr>
        <w:ind w:left="420"/>
      </w:pPr>
      <w:r>
        <w:t xml:space="preserve">1. die Sektoren, die in Artikel 1 Absatz 2 Buchstabe a bis h und j bis w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des Rates (ABl. L 347 vom 20.12.2013, S. 671; L 189 vom 27.6.2014, S. 261; L 130 vom 19.5.2016, S. 18; L 34 vom 9.2.2017, S. 41; L 106 vom 6.4.2020, S. 12) in der jeweils geltenden Fassung festgelegt sind, wobei die in Abschnitt I der Anlage dieser Verordnung enthaltenen Ergänzungen einzelner dieser Sektoren als Bestandteil des jeweiligen Erzeugnisbereichs gelten, sowie</w:t>
      </w:r>
    </w:p>
    <w:p>
      <w:pPr>
        <w:ind w:left="420"/>
      </w:pPr>
      <w:r>
        <w:t xml:space="preserve">2. die in Abschnitt II der Anlage dieser Verordnung genannten Erzeugnisbereiche.</w:t>
      </w:r>
    </w:p>
    <w:p>
      <w:r>
        <w:t xml:space="preserve">(2) In den Erzeugnisbereichen nach Absatz 1 richtet sich die Anerkennung von Agrarorganisationen nach den Bestimmungen des Unionsrechts und ergänzend nach den Bestimmungen des Agrarorganisationen-und-Lieferketten-Gesetzes und dieser Verordnung.</w:t>
      </w:r>
    </w:p>
    <w:p>
      <w:r>
        <w:t xml:space="preserve">(3) Abweichend von Absatz 1 können im Erzeugnisbereich Wein keine Branchenverbände anerkannt werden. Abweichend von Satz 1 können die Landesregierungen durch Rechtsverordnung vorsehen, dass zur Berücksichtigung besonderer regionaler Bedürfnisse Branchenverbände anerkannt werden.</w:t>
      </w:r>
    </w:p>
    <w:p>
      <w:r>
        <w:t xml:space="preserve">(4) Für Erzeugnisbereiche außerhalb des Absatzes 1, für die eine Anerkennung von Agrarorganisationen nach anderen Vorschriften vorgesehen ist, gelten Teil 1, § 33 Absatz 1, 2 und 3 Nummer 1 und 2, § 34 und, soweit die Durchführung des Agrarorganisationenrechts betroffen ist, die §§ 32 und 33 Absatz 3 Nummer 3 und 4 dieser Verordnung nicht, soweit nicht in anderen Rechtsvorschriften etwas Abweichendes bestimmt ist.</w:t>
      </w:r>
    </w:p>
    <w:p>
      <w:r>
        <w:rPr>
          <w:color w:val="555555"/>
          <w:sz w:val="17"/>
        </w:rPr>
        <w:t xml:space="preserve">Zitiervorschlag: § 1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