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AgrarMSV</w:t>
      </w:r>
    </w:p>
    <w:p>
      <w:r>
        <w:rPr>
          <w:color w:val="555555"/>
          <w:sz w:val="18"/>
        </w:rPr>
        <w:t xml:space="preserve">Agrarmarktstrukturverordnung</w:t>
      </w:r>
    </w:p>
    <w:p>
      <w:r>
        <w:rPr>
          <w:color w:val="555555"/>
          <w:sz w:val="18"/>
        </w:rPr>
        <w:t xml:space="preserve">Historische Fassung: Stand 10.06.2019 bis 19.10.2021. Dies ist nicht die aktuelle Fassung.</w:t>
      </w:r>
    </w:p>
    <w:p>
      <w:r>
        <w:t xml:space="preserve">Das Bundesministerium für Ernährung, Landwirtschaft und Verbraucherschutz verordnet auf Grund</w:t>
      </w:r>
    </w:p>
    <w:p>
      <w:pPr>
        <w:ind w:left="420"/>
      </w:pPr>
      <w:r>
        <w:t xml:space="preserve">– des § 2 Absatz 3, des § 4 Absatz 1, im Falle des § 4 Absatz 1 Nummer 1 auch in Verbindung mit § 1 Absatz 3 Satz 1 und des § 4 Absatz 1 Nummer 2 Buchstabe c Doppelbuchstabe cc auch in Verbindung mit § 9 Absatz 3 Satz 1, sowie des § 5 Absatz 2 und des § 7 Absatz 1 des Agrarmarktstrukturgesetzes vom 20. April 2013 (BGBl. I S. 917) im Einvernehmen mit dem Bundesministerium für Wirtschaft und Technologie und</w:t>
      </w:r>
    </w:p>
    <w:p>
      <w:pPr>
        <w:ind w:left="420"/>
      </w:pPr>
      <w:r>
        <w:t xml:space="preserve">– des § 9 Absatz 1 Nummer 2, auch in Verbindung mit § 9 Absatz 2 Satz 2, des Agrarmarktstrukturgesetzes vom 20. April 2013 (BGBl. I S. 917):</w:t>
      </w:r>
    </w:p>
    <w:p>
      <w:r>
        <w:rPr>
          <w:color w:val="555555"/>
          <w:sz w:val="17"/>
        </w:rPr>
        <w:t xml:space="preserve">Zitiervorschlag: Eingangsformel AgrarMSV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