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AgrarMSV — Ziele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Jede Erzeugerorganisation hat mindestens eines der folgenden Ziele ganz oder teilweise zu verfolgen:</w:t>
      </w:r>
    </w:p>
    <w:p>
      <w:pPr>
        <w:ind w:left="420"/>
      </w:pPr>
      <w:r>
        <w:t xml:space="preserve">1. Sicherstellung einer planvollen und insbesondere in quantitativer und qualitativer Hinsicht nachfragegerechten Erzeugung,</w:t>
      </w:r>
    </w:p>
    <w:p>
      <w:pPr>
        <w:ind w:left="420"/>
      </w:pPr>
      <w:r>
        <w:t xml:space="preserve">2. Bündelung des Angebots und Vermarktung der Erzeugung ihrer Mitglieder,</w:t>
      </w:r>
    </w:p>
    <w:p>
      <w:pPr>
        <w:ind w:left="420"/>
      </w:pPr>
      <w:r>
        <w:t xml:space="preserve">3. Verringerung der Produktionskosten und Stabilisierung der Erzeugerpreise.</w:t>
      </w:r>
    </w:p>
    <w:p>
      <w:r>
        <w:rPr>
          <w:color w:val="555555"/>
          <w:sz w:val="17"/>
        </w:rPr>
        <w:t xml:space="preserve">Zitiervorschlag: § 8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