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21a AgrarMSV — Nicht anerkannte Erzeugerorganisationen</w:t>
      </w:r>
    </w:p>
    <w:p>
      <w:r>
        <w:rPr>
          <w:color w:val="555555"/>
          <w:sz w:val="18"/>
        </w:rPr>
        <w:t xml:space="preserve">Agrarmarktstrukturverordnung</w:t>
      </w:r>
    </w:p>
    <w:p>
      <w:r>
        <w:rPr>
          <w:color w:val="555555"/>
          <w:sz w:val="18"/>
        </w:rPr>
        <w:t xml:space="preserve">Historische Fassung: Stand 10.06.2019 bis 19.10.2021. Dies ist nicht die aktuelle Fassung.</w:t>
      </w:r>
    </w:p>
    <w:p>
      <w:r>
        <w:t xml:space="preserve">Soweit das Unionsrecht nicht anerkannte Erzeugerorganisationen erfasst, gelten die §§ 18 und 20 entsprechend.</w:t>
      </w:r>
    </w:p>
    <w:p>
      <w:r>
        <w:rPr>
          <w:color w:val="555555"/>
          <w:sz w:val="17"/>
        </w:rPr>
        <w:t xml:space="preserve">Zitiervorschlag: § 21a AgrarMSV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https://recht.nulegal.eu/gesetze/AgrarMSV/21a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