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AgrarMSV — Aufbewahrungspflicht</w:t>
      </w:r>
    </w:p>
    <w:p>
      <w:r>
        <w:rPr>
          <w:color w:val="555555"/>
          <w:sz w:val="18"/>
        </w:rPr>
        <w:t xml:space="preserve">Agrarmarktstrukturverordnung</w:t>
      </w:r>
    </w:p>
    <w:p>
      <w:r>
        <w:rPr>
          <w:color w:val="555555"/>
          <w:sz w:val="18"/>
        </w:rPr>
        <w:t xml:space="preserve">Historische Fassung: Stand 10.06.2019 bis 19.10.2021. Dies ist nicht die aktuelle Fassung.</w:t>
      </w:r>
    </w:p>
    <w:p>
      <w:r>
        <w:t xml:space="preserve">Jede anerkannte Agrarorganisation hat sämtliche Unterlagen, die mit ihrer Tätigkeit verbunden sind, vier Jahre vom Ende des Kalenderjahres an, auf das sich die Unterlagen beziehen, mit der Sorgfalt eines ordentlichen Kaufmanns aufzubewahren, soweit nicht nach anderen Vorschriften längere Aufbewahrungspflichten bestehen.</w:t>
      </w:r>
    </w:p>
    <w:p>
      <w:r>
        <w:rPr>
          <w:color w:val="555555"/>
          <w:sz w:val="17"/>
        </w:rPr>
        <w:t xml:space="preserve">Zitiervorschlag: § 18 AgrarMSV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