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15b AgrarMSV — Allgemeinverbindlichkeit</w:t>
      </w:r>
    </w:p>
    <w:p>
      <w:r>
        <w:rPr>
          <w:color w:val="555555"/>
          <w:sz w:val="18"/>
        </w:rPr>
        <w:t xml:space="preserve">Agrarmarktstrukturverordnung</w:t>
      </w:r>
    </w:p>
    <w:p>
      <w:r>
        <w:rPr>
          <w:color w:val="555555"/>
          <w:sz w:val="18"/>
        </w:rPr>
        <w:t xml:space="preserve">Historische Fassung: Stand 10.06.2019 bis 19.10.2021. Dies ist nicht die aktuelle Fassung.</w:t>
      </w:r>
    </w:p>
    <w:p>
      <w:r>
        <w:t xml:space="preserve">Der Abschnitt 3a ist für den Erzeugnisbereich Milch und Milcherzeugnisse anzuwenden.</w:t>
      </w:r>
    </w:p>
    <w:p>
      <w:r>
        <w:rPr>
          <w:color w:val="555555"/>
          <w:sz w:val="17"/>
        </w:rPr>
        <w:t xml:space="preserve">Zitiervorschlag: § 15b AgrarMSV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https://recht.nulegal.eu/gesetze/AgrarMSV/15b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