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AgrarMSV — Antragsberechtigung</w:t>
      </w:r>
    </w:p>
    <w:p>
      <w:r>
        <w:rPr>
          <w:color w:val="555555"/>
          <w:sz w:val="18"/>
        </w:rPr>
        <w:t xml:space="preserve">Agrarmarktstrukturverordnung</w:t>
      </w:r>
    </w:p>
    <w:p>
      <w:r>
        <w:rPr>
          <w:color w:val="555555"/>
          <w:sz w:val="18"/>
        </w:rPr>
        <w:t xml:space="preserve">Historische Fassung: Stand 10.06.2019 bis 19.10.2021. Dies ist nicht die aktuelle Fassung.</w:t>
      </w:r>
    </w:p>
    <w:p>
      <w:r>
        <w:t xml:space="preserve">Soweit nach dieser Verordnung für einen Erzeugnisbereich die Möglichkeit eröffnet ist, Vorschriften einer Agrarorganisation für allgemeinverbindlich zu erklären, ist antragsberechtigt im Sinne des § 4a Absatz 3 Nummer 1 des Agrarmarktstrukturgesetzes eine anerkannte Agrarorganisation, die nach Maßgabe des Artikels 164 Absatz 1 in Verbindung mit Absatz 2 und 3 der Verordnung (EU) Nr. 1308/2013 repräsentativ für die Erzeugung, Vermarktung oder Verarbeitung eines Erzeugnisses in einem räumlichen Bereich ist.</w:t>
      </w:r>
    </w:p>
    <w:p>
      <w:r>
        <w:rPr>
          <w:color w:val="555555"/>
          <w:sz w:val="17"/>
        </w:rPr>
        <w:t xml:space="preserve">Zitiervorschlag: § 13a AgrarMSV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https://recht.nulegal.eu/gesetze/AgrarMSV/13a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