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AgrarMSV — Mitgliedschaft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(1) Ein Branchenverband für einen Erzeugnisbereich muss mindestens aus Vertretern</w:t>
      </w:r>
    </w:p>
    <w:p>
      <w:pPr>
        <w:ind w:left="420"/>
      </w:pPr>
      <w:r>
        <w:t xml:space="preserve">1. der Erzeugung und</w:t>
      </w:r>
    </w:p>
    <w:p>
      <w:pPr>
        <w:ind w:left="420"/>
      </w:pPr>
      <w:r>
        <w:t xml:space="preserve">2. der Verarbeitung oder des Handels</w:t>
      </w:r>
    </w:p>
    <w:p>
      <w:r>
        <w:t xml:space="preserve">bestehen.</w:t>
      </w:r>
    </w:p>
    <w:p>
      <w:r>
        <w:t xml:space="preserve">(2) Die Vertreter müssen</w:t>
      </w:r>
    </w:p>
    <w:p>
      <w:pPr>
        <w:ind w:left="420"/>
      </w:pPr>
      <w:r>
        <w:t xml:space="preserve">1. in dem jeweiligen Erzeugnisbereich tätig sein und</w:t>
      </w:r>
    </w:p>
    <w:p>
      <w:pPr>
        <w:ind w:left="420"/>
      </w:pPr>
      <w:r>
        <w:t xml:space="preserve">2. jeweils in ihrer Gesamtheit für die nach Absatz 1 in dem betreffenden Branchenverband vertretenen Gruppen einen wesentlichen Anteil an der wirtschaftlichen Tätigkeit in dem betreffenden Erzeugnisbereich mindestens auf regionaler Ebene darstellen.</w:t>
      </w:r>
    </w:p>
    <w:p>
      <w:r>
        <w:t xml:space="preserve">Beschränkt sich der Branchenverband in seiner Satzung auf den Teil eines Erzeugnisbereichs und stellt dieser Teil einen eigenständigen Markt dar, bezieht sich der wesentliche Anteil im Sinne des Satzes 1 Nummer 2 auf diesen Teil des Erzeugnisbereichs.</w:t>
      </w:r>
    </w:p>
    <w:p>
      <w:r>
        <w:rPr>
          <w:color w:val="555555"/>
          <w:sz w:val="17"/>
        </w:rPr>
        <w:t xml:space="preserve">Zitiervorschlag: § 13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