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AgrarMSV — Vereinigungen</w:t>
      </w:r>
    </w:p>
    <w:p>
      <w:r>
        <w:rPr>
          <w:color w:val="555555"/>
          <w:sz w:val="18"/>
        </w:rPr>
        <w:t xml:space="preserve">Agrarmarktstrukturverordnung</w:t>
      </w:r>
    </w:p>
    <w:p>
      <w:r>
        <w:rPr>
          <w:color w:val="555555"/>
          <w:sz w:val="18"/>
        </w:rPr>
        <w:t xml:space="preserve">Historische Fassung: Stand 10.06.2019 bis 19.10.2021. Dies ist nicht die aktuelle Fassung.</w:t>
      </w:r>
    </w:p>
    <w:p>
      <w:r>
        <w:t xml:space="preserve">(1) Jede Vereinigung hat mindestens eines der in § 8 genannten Ziele ganz oder teilweise zu verfolgen.</w:t>
      </w:r>
    </w:p>
    <w:p>
      <w:r>
        <w:t xml:space="preserve">(2) Mitglied einer Vereinigung kann nur eine im Anwendungsbereich des Agrarmarktstrukturgesetzes anerkannte Erzeugerorganisation, die in dem von der Vereinigung abgedeckten Erzeugnisbereich tätig ist, sein. Eine anerkannte Erzeugerorganisation darf, ausgenommen im Erzeugnisbereich Milch und Milcherzeugnisse, nur Mitglied einer einzigen Vereinigung sein, die das Ziel der Bündelung des Angebots ihrer Mitglieder verfolgt. Stellt ein Mitglied seine Tätigkeit ein, gilt § 9 Absatz 2 entsprechend. § 9 Absatz 3 gilt mit der Maßgabe entsprechend, dass inaktive Mitglieder Personen sind, die keine der Voraussetzungen des Satzes 1 erfüllen. Die Vereinigung hat entsprechend § 9 Absatz 4 jährlich eine Mitgliederliste zu übermitteln. Auf die Tätigkeit Dritter ist § 10a entsprechend anzuwenden.</w:t>
      </w:r>
    </w:p>
    <w:p>
      <w:r>
        <w:t xml:space="preserve">(3) Die Mindestmitgliederzahl einer Vereinigung beträgt zwei Mitglieder.</w:t>
      </w:r>
    </w:p>
    <w:p>
      <w:r>
        <w:rPr>
          <w:color w:val="555555"/>
          <w:sz w:val="17"/>
        </w:rPr>
        <w:t xml:space="preserve">Zitiervorschlag: § 11 AgrarMSV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