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10a AgrarMSV — Übertragung von Tätigkeiten an Dritte</w:t>
      </w:r>
    </w:p>
    <w:p>
      <w:r>
        <w:rPr>
          <w:color w:val="555555"/>
          <w:sz w:val="18"/>
        </w:rPr>
        <w:t xml:space="preserve">Agrarmarktstrukturverordnung</w:t>
      </w:r>
    </w:p>
    <w:p>
      <w:r>
        <w:rPr>
          <w:color w:val="555555"/>
          <w:sz w:val="18"/>
        </w:rPr>
        <w:t xml:space="preserve">Historische Fassung: Stand 10.06.2019 bis 19.10.2021. Dies ist nicht die aktuelle Fassung.</w:t>
      </w:r>
    </w:p>
    <w:p>
      <w:r>
        <w:t xml:space="preserve">Eine Erzeugerorganisation kann nach Maßgabe des Unionsrechts Tätigkeiten an Dritte übertragen. Das nach Satz 1 maßgebliche Unionsrecht gilt für Nicht-Anhang-I-Erzeugnisse im Sinne des § 2 Absatz 2 Nummer 2 des Agrarmarktstrukturgesetzesentsprechend.</w:t>
      </w:r>
    </w:p>
    <w:p>
      <w:r>
        <w:rPr>
          <w:color w:val="555555"/>
          <w:sz w:val="17"/>
        </w:rPr>
        <w:t xml:space="preserve">Zitiervorschlag: § 10a AgrarMSV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https://recht.nulegal.eu/gesetze/AgrarMSV/10a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