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AgrarMSG — Kartellbestimmungen; Verordnungsermächtigung</w:t>
      </w:r>
    </w:p>
    <w:p>
      <w:r>
        <w:rPr>
          <w:color w:val="555555"/>
          <w:sz w:val="18"/>
        </w:rPr>
        <w:t xml:space="preserve">Agrarorganisationen-und-Lieferketten-Gesetz</w:t>
      </w:r>
    </w:p>
    <w:p>
      <w:r>
        <w:rPr>
          <w:color w:val="555555"/>
          <w:sz w:val="18"/>
        </w:rPr>
        <w:t xml:space="preserve">Stand: 20.12.2022 (konsolidierte Textfassung, kein amtliches Inkrafttretensdatum)</w:t>
      </w:r>
    </w:p>
    <w:p>
      <w:r>
        <w:t xml:space="preserve">(1) Für Tätigkeiten, die eine Agrarorganisation in dem von ihrer Anerkennung umfassten Bereich vornimmt und die dem in § 1 Absatz 1 Nummer 1, auch in Verbindung mit den Absätzen 2 oder 3, genannten Unionsrecht, dem Teil 2 dieses Gesetzes und den auf Grund dieses Gesetzes in Bezug auf Agrarorganisationen erlassenen Rechtsverordnungen (Agrarorganisationenrecht) entsprechen, gilt § 1 des Gesetzes gegen Wettbewerbsbeschränkungen nicht. Im Übrigen bleiben die Vorschriften des Gesetzes gegen Wettbewerbsbeschränkungen unberührt.</w:t>
      </w:r>
    </w:p>
    <w:p>
      <w:r>
        <w:t xml:space="preserve">(2) Das Bundesministerium wird ermächtigt, im Einvernehmen mit dem Bundesministerium für Wirtschaft und Klimaschutz durch Rechtsverordnung, die der Zustimmung des Bundesrates bedarf,</w:t>
      </w:r>
    </w:p>
    <w:p>
      <w:pPr>
        <w:ind w:left="420"/>
      </w:pPr>
      <w:r>
        <w:t xml:space="preserve">1. den Austausch von Erkenntnissen über Tatsachen hinsichtlich der anerkannten Agrarorganisationen zwischen den für die Anerkennung zuständigen Stellen und den Kartellbehörden zu regeln, soweit der Austausch für das Tätigwerden der jeweils anderen Behörde erforderlich ist,</w:t>
      </w:r>
    </w:p>
    <w:p>
      <w:pPr>
        <w:ind w:left="420"/>
      </w:pPr>
      <w:r>
        <w:t xml:space="preserve">2. soweit eine Agrarorganisation gegen eine anwendbare Bestimmung des Kartellrechts verstößt, das Ruhen oder den Widerruf der Anerkennung einschließlich des Verfahrens zu regeln, und,</w:t>
      </w:r>
    </w:p>
    <w:p>
      <w:pPr>
        <w:ind w:left="420"/>
      </w:pPr>
      <w:r>
        <w:t xml:space="preserve">3. soweit das Unionsrecht für bestimmte Agrarorganisationen besondere Kartellbestimmungen vorsieht, die zur Durchführung dieser Bestimmungen erforderlichen Anforderungen sowie das Verfahren zu regeln.</w:t>
      </w:r>
    </w:p>
    <w:p>
      <w:r>
        <w:rPr>
          <w:color w:val="555555"/>
          <w:sz w:val="17"/>
        </w:rPr>
        <w:t xml:space="preserve">Zitiervorschlag: § 6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