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AgrarMSG — Überwachung; Mitteilungen; Verordnungsermächtigung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(1) Das Bundesministerium wird ermächtigt, im Einvernehmen mit dem Bundesministerium für Wirtschaft und Klimaschutz durch Rechtsverordnung, die nach Maßgabe des Absatzes 2 der Zustimmung des Bundesrates bedarf, die Vorschriften zu erlassen, die zur Überwachung der Einhaltung des Agrarorganisationenrechts oder der Einhaltung des Rechts über Geschäftsbeziehungen in der Agrar-, Fischerei- und Lebensmittellieferkette oder zur Erfüllung von Mitteilungspflichten gegenüber Organen der Europäischen Union erforderlich sind. Insbesondere können Mitteilungs-, Aufzeichnungs-, Aufbewahrungs-, Auskunfts- und sonstige Unterstützungspflichten sowie Pflichten zur Duldung des Betretens und der Besichtigung von Geschäftsräumen und Betriebsstätten während der üblichen Geschäfts- und Betriebszeiten, zur Vornahme von Proben sowie zur Einsichtnahme und zum Kopieren von Geschäftsunterlagen sowie Pflichten von Zeugen und Sachverständigen zur Aussage oder zur Erstattung von Gutachten vorgeschrieben werden.</w:t>
      </w:r>
    </w:p>
    <w:p>
      <w:r>
        <w:t xml:space="preserve">(2) Die Zustimmung des Bundesrates ist nicht erforderlich, wenn die Vorschriften</w:t>
      </w:r>
    </w:p>
    <w:p>
      <w:pPr>
        <w:ind w:left="420"/>
      </w:pPr>
      <w:r>
        <w:t xml:space="preserve">1. die Überwachung der Einhaltung der Regelungen über unlautere Handelspraktiken betreffen oder</w:t>
      </w:r>
    </w:p>
    <w:p>
      <w:pPr>
        <w:ind w:left="420"/>
      </w:pPr>
      <w:r>
        <w:t xml:space="preserve">2. Mitteilungspflichten über unlautere Handelspraktiken betreffen.</w:t>
      </w:r>
    </w:p>
    <w:p>
      <w:r>
        <w:rPr>
          <w:color w:val="555555"/>
          <w:sz w:val="17"/>
        </w:rPr>
        <w:t xml:space="preserve">Zitiervorschlag: § 54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