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AgrarMSG — Gestaltung von Vertragsbeziehungen zwischen Erzeugern und Verarbeitern von Agrarerzeugnissen; Verordnungsermächtigung</w:t>
      </w:r>
    </w:p>
    <w:p>
      <w:r>
        <w:rPr>
          <w:color w:val="555555"/>
          <w:sz w:val="18"/>
        </w:rPr>
        <w:t xml:space="preserve">Agrarorganisationen-und-Lieferketten-Gesetz</w:t>
      </w:r>
    </w:p>
    <w:p>
      <w:r>
        <w:rPr>
          <w:color w:val="555555"/>
          <w:sz w:val="18"/>
        </w:rPr>
        <w:t xml:space="preserve">Stand: 20.12.2022 (konsolidierte Textfassung, kein amtliches Inkrafttretensdatum)</w:t>
      </w:r>
    </w:p>
    <w:p>
      <w:r>
        <w:t xml:space="preserve">(1) Das Bundesministerium wird ermächtigt, im Einvernehmen mit dem Bundesministerium für Wirtschaft und Klimaschutz durch Rechtsverordnung, die der Zustimmung des Bundesrates bedarf, zur Durchführung unionsrechtlicher Bestimmungen über die Gestaltung von Vertragsbeziehungen zwischen Erzeugern und Verarbeitern von Agrarerzeugnissen Vorschriften über</w:t>
      </w:r>
    </w:p>
    <w:p>
      <w:pPr>
        <w:ind w:left="420"/>
      </w:pPr>
      <w:r>
        <w:t xml:space="preserve">1. die Gestaltung der Vertragsbeziehungen, soweit sie nach dem Unionsrecht bestimmt oder bestimmbar ist,</w:t>
      </w:r>
    </w:p>
    <w:p>
      <w:pPr>
        <w:ind w:left="420"/>
      </w:pPr>
      <w:r>
        <w:t xml:space="preserve">2. das Verfahren und</w:t>
      </w:r>
    </w:p>
    <w:p>
      <w:pPr>
        <w:ind w:left="420"/>
      </w:pPr>
      <w:r>
        <w:t xml:space="preserve">3. die Pflicht des Erzeugers oder des Verarbeiters von Agrarerzeugnissen, auf Aufforderung oder in einem Antragsverfahren den Vertrag und andere Unterlagen, die zur Beurteilung des Vertragsverhältnisses von Bedeutung sind, der zuständigen Stelle vorzulegen,</w:t>
      </w:r>
    </w:p>
    <w:p>
      <w:r>
        <w:t xml:space="preserve">zu erlassen.</w:t>
      </w:r>
    </w:p>
    <w:p>
      <w:r>
        <w:t xml:space="preserve">(2) Soweit das Unionsrecht den Mitgliedstaaten die Möglichkeit eröffnet, das in Absatz 1 bezeichnete Unionsrecht anzuwenden, kann in einer Rechtsverordnung nach Absatz 1 die Anwendung ganz oder teilweise nach Maßgabe des Satzes 2 angeordnet werden. Eine Rechtsverordnung darf nur ergehen, soweit dies zur Verhinderung oder Beseitigung von Nachteilen für die Entwicklung des jeweils betroffenen Agrarerzeugnissektors sachgerecht ist.</w:t>
      </w:r>
    </w:p>
    <w:p>
      <w:r>
        <w:t xml:space="preserve">(3) Soweit das in Absatz 1 bezeichnete Unionsrecht für die Mitgliedstaaten einen Gestaltungsspielraum enthält, ist die Rechtsverordnung nach Absatz 1</w:t>
      </w:r>
    </w:p>
    <w:p>
      <w:pPr>
        <w:ind w:left="420"/>
      </w:pPr>
      <w:r>
        <w:t xml:space="preserve">1. an einer Verbesserung der Strukturen des jeweils betroffenen Agrarerzeugnissektors und</w:t>
      </w:r>
    </w:p>
    <w:p>
      <w:pPr>
        <w:ind w:left="420"/>
      </w:pPr>
      <w:r>
        <w:t xml:space="preserve">2. den Erfordernissen eines möglichst geringen Verfahrens- und Überwachungsaufwandes auszurichten.</w:t>
      </w:r>
    </w:p>
    <w:p>
      <w:r>
        <w:rPr>
          <w:color w:val="555555"/>
          <w:sz w:val="17"/>
        </w:rPr>
        <w:t xml:space="preserve">Zitiervorschlag: § 53 AgrarMSG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https://recht.nulegal.eu/gesetze/AgrarMSG/53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