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AgrarMSG — Allgemeinverbindlichkeit; Verordnungsermächtigungen</w:t>
      </w:r>
    </w:p>
    <w:p>
      <w:r>
        <w:rPr>
          <w:color w:val="555555"/>
          <w:sz w:val="18"/>
        </w:rPr>
        <w:t xml:space="preserve">Agrarorganisationen-und-Lieferketten-Gesetz</w:t>
      </w:r>
    </w:p>
    <w:p>
      <w:r>
        <w:rPr>
          <w:color w:val="555555"/>
          <w:sz w:val="18"/>
        </w:rPr>
        <w:t xml:space="preserve">Stand: 20.12.2022 (konsolidierte Textfassung, kein amtliches Inkrafttretensdatum)</w:t>
      </w:r>
    </w:p>
    <w:p>
      <w:r>
        <w:t xml:space="preserve">(1) Soweit das Unionsrecht den Mitgliedstaaten die Möglichkeit eröffnet, dass Vereinbarungen, Beschlüsse oder aufeinander abgestimmte Verhaltensweisen einer anerkannten Agrarorganisation (Vorschriften) für dieser Agrarorganisation nicht angehörende Einzelunternehmen oder Gruppierungen (Nichtmitglieder) für verbindlich erklärt werden können (Allgemeinverbindlichkeit), wird das Bundesministerium ermächtigt, im Einvernehmen mit dem Bundesministerium für Wirtschaft und Klimaschutz durch Rechtsverordnung nach Maßgabe der Absätze 2 und 3 und einer Rechtsverordnung auf Grund des Absatzes 4 die Allgemeinverbindlichkeit ganz oder teilweise anzuordnen.</w:t>
      </w:r>
    </w:p>
    <w:p>
      <w:r>
        <w:t xml:space="preserve">(2) Eine Rechtsverordnung darf nur ergehen, um negativen Folgen für den betreffenden Erzeugnisbereich zu begegnen,</w:t>
      </w:r>
    </w:p>
    <w:p>
      <w:pPr>
        <w:ind w:left="420"/>
      </w:pPr>
      <w:r>
        <w:t xml:space="preserve">1. die Nichtmitglieder verursachen und</w:t>
      </w:r>
    </w:p>
    <w:p>
      <w:pPr>
        <w:ind w:left="420"/>
      </w:pPr>
      <w:r>
        <w:t xml:space="preserve">2. die durch deren Erfassung vermindert werden können.</w:t>
      </w:r>
    </w:p>
    <w:p>
      <w:r>
        <w:t xml:space="preserve">(3) Die Rechtsverordnung</w:t>
      </w:r>
    </w:p>
    <w:p>
      <w:pPr>
        <w:ind w:left="420"/>
      </w:pPr>
      <w:r>
        <w:t xml:space="preserve">1. ist nur auf Grund eines schriftlichen oder elektronischen Antrages der Agrarorganisation beim Bundesministerium und nach Anhörung der betroffenen Nichtmitglieder zulässig,</w:t>
      </w:r>
    </w:p>
    <w:p>
      <w:pPr>
        <w:ind w:left="420"/>
      </w:pPr>
      <w:r>
        <w:t xml:space="preserve">2. ist auf höchstens zehn Jahre zu befristen,</w:t>
      </w:r>
    </w:p>
    <w:p>
      <w:pPr>
        <w:ind w:left="420"/>
      </w:pPr>
      <w:r>
        <w:t xml:space="preserve">3. hat die Agrarorganisation einschließlich des von der Allgemeinverbindlichkeit erfassten räumlichen Bereichs anzuführen und die jeweilige Vorschrift im Wortlaut zu enthalten.</w:t>
      </w:r>
    </w:p>
    <w:p>
      <w:r>
        <w:t xml:space="preserve">Der Antrag kann wiederholt gestellt werden.</w:t>
      </w:r>
    </w:p>
    <w:p>
      <w:r>
        <w:t xml:space="preserve">(4) Das Bundesministerium wird ermächtigt, im Einvernehmen mit dem Bundesministerium für Wirtschaft und Klimaschutz durch Rechtsverordnung, die mit Ausnahme der Regelung zu Nummer 1 der Zustimmung des Bundesrates bedarf, zu regeln</w:t>
      </w:r>
    </w:p>
    <w:p>
      <w:pPr>
        <w:ind w:left="420"/>
      </w:pPr>
      <w:r>
        <w:t xml:space="preserve">1. nach Maßgabe des Satzes 2 die Erzeugnisbereiche, für die eine Rechtsverordnung nach Absatz 1 erlassen werden kann,</w:t>
      </w:r>
    </w:p>
    <w:p>
      <w:pPr>
        <w:ind w:left="420"/>
      </w:pPr>
      <w:r>
        <w:t xml:space="preserve">2. das Antrags- und Anhörungsverfahren,</w:t>
      </w:r>
    </w:p>
    <w:p>
      <w:pPr>
        <w:ind w:left="420"/>
      </w:pPr>
      <w:r>
        <w:t xml:space="preserve">3. die Voraussetzungen und das Verfahren für die vorzeitige Aufhebung einer Rechtsverordnung nach Absatz 1, einschließlich von Mitteilungspflichten,</w:t>
      </w:r>
    </w:p>
    <w:p>
      <w:pPr>
        <w:ind w:left="420"/>
      </w:pPr>
      <w:r>
        <w:t xml:space="preserve">4. die Voraussetzungen für die Bestimmung des Repräsentativitätsgrads eines Branchenverbands nach Maßgabe des Unionsrechts, soweit das Unionsrecht den Repräsentativitätsgrad nicht abschließend regelt.</w:t>
      </w:r>
    </w:p>
    <w:p>
      <w:r>
        <w:t xml:space="preserve">Die Einbeziehung eines Erzeugnisbereichs nach Satz 1 Nummer 1 darf nur erfolgen, soweit dies zur Verhinderung oder Beseitigung von Nachteilen für die Entwicklung des jeweils betroffenen Erzeugnisbereichs zweckmäßig ist.</w:t>
      </w:r>
    </w:p>
    <w:p>
      <w:r>
        <w:t xml:space="preserve">(5) Für die vorzeitige Aufhebung einer Rechtsverordnung nach Absatz 1 sind das Einvernehmen des Bundesministeriums für Wirtschaft und Klimaschutz und die Zustimmung des Bundesrates nicht erforderlich.</w:t>
      </w:r>
    </w:p>
    <w:p>
      <w:r>
        <w:t xml:space="preserve">(6) Bezieht sich eine nach dem Unionsrecht ermöglichte Erklärung der Allgemeinverbindlichkeit auf einen räumlichen Bereich in dem Gebiet nur eines Landes, ist anstelle des Bundesministeriums die Landesregierung zuständig, eine Rechtsverordnung nach Absatz 1 zu erlassen, wobei in Absatz 3 Nummer 1 anstelle des Bundesministeriums die nach Landesrecht zuständige Stelle tritt. Die Landesregierung kann die Ermächtigung auf oberste Landesbehörden übertragen.</w:t>
      </w:r>
    </w:p>
    <w:p>
      <w:r>
        <w:rPr>
          <w:color w:val="555555"/>
          <w:sz w:val="17"/>
        </w:rPr>
        <w:t xml:space="preserve">Zitiervorschlag: § 5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