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AgrarMSG — Zuständigkeit des Oberlandesgerichts im gerichtlichen Verfahren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Das nach § 32 Absatz 1 zuständige Gericht entscheidet</w:t>
      </w:r>
    </w:p>
    <w:p>
      <w:pPr>
        <w:ind w:left="420"/>
      </w:pPr>
      <w:r>
        <w:t xml:space="preserve">1. im gerichtlichen Verfahren wegen einer Ordnungswidrigkeit nach § 55 Absatz 1 Nummer 1a oder 1b,</w:t>
      </w:r>
    </w:p>
    <w:p>
      <w:pPr>
        <w:ind w:left="420"/>
      </w:pPr>
      <w:r>
        <w:t xml:space="preserve">2. über einen Antrag auf gerichtliche Entscheidung (§ 62 des Gesetzes über Ordnungswidrigkeiten) in den Fällen des § 52 Absatz 2 Satz 3 und des § 69 Absatz 1 Satz 2 des Gesetzes über Ordnungswidrigkeiten.</w:t>
      </w:r>
    </w:p>
    <w:p>
      <w:r>
        <w:t xml:space="preserve">§ 140 Absatz 1 Nummer 1 der Strafprozessordnung in Verbindung mit § 46 Absatz 1 des Gesetzes über Ordnungswidrigkeiten findet keine Anwendung.</w:t>
      </w:r>
    </w:p>
    <w:p>
      <w:r>
        <w:t xml:space="preserve">(2) Das Oberlandesgericht entscheidet in der Besetzung von drei Mitgliedern, das vorsitzende Mitglied eingeschlossen.</w:t>
      </w:r>
    </w:p>
    <w:p>
      <w:r>
        <w:rPr>
          <w:color w:val="555555"/>
          <w:sz w:val="17"/>
        </w:rPr>
        <w:t xml:space="preserve">Zitiervorschlag: § 49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