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AgrarMSG — Revisionsberechtigte, Form und Frist</w:t>
      </w:r>
    </w:p>
    <w:p>
      <w:r>
        <w:rPr>
          <w:color w:val="555555"/>
          <w:sz w:val="18"/>
        </w:rPr>
        <w:t xml:space="preserve">Agrarorganisationen-und-Lieferketten-Gesetz</w:t>
      </w:r>
    </w:p>
    <w:p>
      <w:r>
        <w:rPr>
          <w:color w:val="555555"/>
          <w:sz w:val="18"/>
        </w:rPr>
        <w:t xml:space="preserve">Stand: 02.12.2022 (konsolidierte Textfassung, kein amtliches Inkrafttretensdatum)</w:t>
      </w:r>
    </w:p>
    <w:p>
      <w:r>
        <w:t xml:space="preserve">(1) Die Revision steht der Durchsetzungsbehörde sowie den am Klageverfahren Beteiligten zu.</w:t>
      </w:r>
    </w:p>
    <w:p>
      <w:r>
        <w:t xml:space="preserve">(2) Die Revision kann nur darauf gestützt werden, dass die Entscheidung auf einer Verletzung des Rechts beruht; die §§ 546 und 547 der Zivilprozessordnung gelten entsprechend.</w:t>
      </w:r>
    </w:p>
    <w:p>
      <w:r>
        <w:t xml:space="preserve">(3) Die Revision ist binnen einer Frist von einem Monat schriftlich beim Oberlandesgericht einzulegen. Die Frist beginnt mit der Zustellung der angefochtenen Entscheidung.</w:t>
      </w:r>
    </w:p>
    <w:p>
      <w:r>
        <w:t xml:space="preserve">(4) Der Bundesgerichtshof ist an die in der angefochtenen Entscheidung getroffenen tatsächlichen Feststellungen gebunden, außer, wenn in Bezug auf diese Feststellungen zulässige und begründete Revisionsgründe vorgebracht worden sind.</w:t>
      </w:r>
    </w:p>
    <w:p>
      <w:r>
        <w:t xml:space="preserve">(5) Für die Revision gelten im Übrigen § 34 Absatz 3, 4 Nummer 1 und Absatz 5 sowie die §§ 36 bis 38 und 40 bis 43 entsprechend. Für den Erlass einstweiliger Anordnungen ist das nach § 32 Absatz 1 zuständige Gericht zuständig.</w:t>
      </w:r>
    </w:p>
    <w:p>
      <w:r>
        <w:rPr>
          <w:color w:val="555555"/>
          <w:sz w:val="17"/>
        </w:rPr>
        <w:t xml:space="preserve">Zitiervorschlag: § 46 AgrarMSG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https://recht.nulegal.eu/gesetze/AgrarMSG/46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