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AgrarMSG — Geltung von Vorschriften des Gerichtsverfassungsgesetzes und der Zivilprozessordnung</w:t>
      </w:r>
    </w:p>
    <w:p>
      <w:r>
        <w:rPr>
          <w:color w:val="555555"/>
          <w:sz w:val="18"/>
        </w:rPr>
        <w:t xml:space="preserve">Agrarorganisationen-und-Lieferketten-Gesetz</w:t>
      </w:r>
    </w:p>
    <w:p>
      <w:r>
        <w:rPr>
          <w:color w:val="555555"/>
          <w:sz w:val="18"/>
        </w:rPr>
        <w:t xml:space="preserve">Stand: 02.12.2022 (konsolidierte Textfassung, kein amtliches Inkrafttretensdatum)</w:t>
      </w:r>
    </w:p>
    <w:p>
      <w:r>
        <w:t xml:space="preserve">Für Verfahren vor dem zuständigen Gericht gelten, soweit nichts anderes bestimmt ist, folgende Vorschriften entsprechend:</w:t>
      </w:r>
    </w:p>
    <w:p>
      <w:pPr>
        <w:ind w:left="420"/>
      </w:pPr>
      <w:r>
        <w:t xml:space="preserve">1. die Vorschriften der §§ 169 bis 201 des Gerichtsverfassungsgesetzes über Öffentlichkeit, Sitzungspolizei, Gerichtssprache, Beratung und Abstimmung sowie über den Rechtsschutz bei überlangen Gerichtsverfahren;</w:t>
      </w:r>
    </w:p>
    <w:p>
      <w:pPr>
        <w:ind w:left="420"/>
      </w:pPr>
      <w:r>
        <w:t xml:space="preserve">2. die Vorschriften der Zivilprozessordnung über Ausschließung und Ablehnung eines Richters, über Prozessbevollmächtigte und Beistände, über die Zustellung von Amts wegen, über Ladungen, Termine und Fristen, über die Anordnung des persönlichen Erscheinens der Parteien, über die Verbindung mehrerer Prozesse, über die Erledigung des Zeugen- und Sachverständigenbeweises sowie über die sonstigen Arten des Beweisverfahrens, über die Wiedereinsetzung in den vorigen Stand gegen die Versäumung einer Frist sowie über den elektronischen Rechtsverkehr.</w:t>
      </w:r>
    </w:p>
    <w:p>
      <w:r>
        <w:rPr>
          <w:color w:val="555555"/>
          <w:sz w:val="17"/>
        </w:rPr>
        <w:t xml:space="preserve">Zitiervorschlag: § 43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