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AgrarMSG — Verfahrensbeteiligte</w:t>
      </w:r>
    </w:p>
    <w:p>
      <w:r>
        <w:rPr>
          <w:color w:val="555555"/>
          <w:sz w:val="18"/>
        </w:rPr>
        <w:t xml:space="preserve">Agrarorganisationen-und-Lieferketten-Gesetz</w:t>
      </w:r>
    </w:p>
    <w:p>
      <w:r>
        <w:rPr>
          <w:color w:val="555555"/>
          <w:sz w:val="18"/>
        </w:rPr>
        <w:t xml:space="preserve">Stand: 07.11.2024 (konsolidierte Textfassung, kein amtliches Inkrafttretensdatum)</w:t>
      </w:r>
    </w:p>
    <w:p>
      <w:r>
        <w:t xml:space="preserve">An dem Verfahren vor dem zuständigen Gericht sind beteiligt:</w:t>
      </w:r>
    </w:p>
    <w:p>
      <w:pPr>
        <w:ind w:left="420"/>
      </w:pPr>
      <w:r>
        <w:t xml:space="preserve">1. der Kläger,</w:t>
      </w:r>
    </w:p>
    <w:p>
      <w:pPr>
        <w:ind w:left="420"/>
      </w:pPr>
      <w:r>
        <w:t xml:space="preserve">2. die Durchsetzungsbehörde,</w:t>
      </w:r>
    </w:p>
    <w:p>
      <w:pPr>
        <w:ind w:left="420"/>
      </w:pPr>
      <w:r>
        <w:t xml:space="preserve">3. Personen und Personenvereinigungen, deren Interessen durch die Entscheidung erheblich berührt werden und die die Durchsetzungsbehörde auf ihren Antrag zu dem Verfahren beigeladen hat.</w:t>
      </w:r>
    </w:p>
    <w:p>
      <w:r>
        <w:rPr>
          <w:color w:val="555555"/>
          <w:sz w:val="17"/>
        </w:rPr>
        <w:t xml:space="preserve">Zitiervorschlag: § 36 AgrarMSG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https://recht.nulegal.eu/gesetze/AgrarMSG/36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