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AgrarMSG — Aufschiebende Wirkung</w:t>
      </w:r>
    </w:p>
    <w:p>
      <w:r>
        <w:rPr>
          <w:color w:val="555555"/>
          <w:sz w:val="18"/>
        </w:rPr>
        <w:t xml:space="preserve">Agrarorganisationen-und-Lieferketten-Gesetz</w:t>
      </w:r>
    </w:p>
    <w:p>
      <w:r>
        <w:rPr>
          <w:color w:val="555555"/>
          <w:sz w:val="18"/>
        </w:rPr>
        <w:t xml:space="preserve">Stand: 02.12.2022 (konsolidierte Textfassung, kein amtliches Inkrafttretensdatum)</w:t>
      </w:r>
    </w:p>
    <w:p>
      <w:r>
        <w:t xml:space="preserve">Die Klage gegen eine Verfügung der Durchsetzungsbehörde hat keine aufschiebende Wirkung.</w:t>
      </w:r>
    </w:p>
    <w:p>
      <w:r>
        <w:rPr>
          <w:color w:val="555555"/>
          <w:sz w:val="17"/>
        </w:rPr>
        <w:t xml:space="preserve">Zitiervorschlag: § 33 AgrarMSG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https://recht.nulegal.eu/gesetze/AgrarMSG/33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