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AgrarMSG — Zuständigkeit, Zulässigkeit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(1) Über eine Klage gegen die Durchsetzungsbehörde entscheidet das für Beschwerden gegen Entscheidungen des Bundeskartellamts zuständige Oberlandesgericht (zuständiges Gericht).</w:t>
      </w:r>
    </w:p>
    <w:p>
      <w:r>
        <w:t xml:space="preserve">(2) Die §§ 42 bis 44a der Verwaltungsgerichtsordnung sind entsprechend anzuwenden.</w:t>
      </w:r>
    </w:p>
    <w:p>
      <w:r>
        <w:rPr>
          <w:color w:val="555555"/>
          <w:sz w:val="17"/>
        </w:rPr>
        <w:t xml:space="preserve">Zitiervorschlag: § 32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