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AgrarMSG — Tätigkeitsbericht der Durchsetzungsbehörde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Die Durchsetzungsbehörde veröffentlicht jährlich einen Bericht über ihre Tätigkeit. Der Bericht hat für das jeweilige Vorjahr Folgendes zu umfassen:</w:t>
      </w:r>
    </w:p>
    <w:p>
      <w:pPr>
        <w:ind w:left="420"/>
      </w:pPr>
      <w:r>
        <w:t xml:space="preserve">1. die Zahl der eingegangenen Beschwerden sowie die Zahl der eingeleiteten und der abgeschlossenen Untersuchungen und</w:t>
      </w:r>
    </w:p>
    <w:p>
      <w:pPr>
        <w:ind w:left="420"/>
      </w:pPr>
      <w:r>
        <w:t xml:space="preserve">2. soweit mit einem Antrag nach § 26 Absatz 1 vereinbar, für jede abgeschlossene Untersuchung eine zusammenfassende Beschreibung des Sachverhalts, das Ergebnis der Untersuchung und gegebenenfalls die getroffene Entscheidung.</w:t>
      </w:r>
    </w:p>
    <w:p>
      <w:r>
        <w:rPr>
          <w:color w:val="555555"/>
          <w:sz w:val="17"/>
        </w:rPr>
        <w:t xml:space="preserve">Zitiervorschlag: § 29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