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28a AgrarMSG — Informationsaustausch mit dem Bundeskartellamt</w:t>
      </w:r>
    </w:p>
    <w:p>
      <w:r>
        <w:rPr>
          <w:color w:val="555555"/>
          <w:sz w:val="18"/>
        </w:rPr>
        <w:t xml:space="preserve">Agrarorganisationen-und-Lieferketten-Gesetz</w:t>
      </w:r>
    </w:p>
    <w:p>
      <w:r>
        <w:rPr>
          <w:color w:val="555555"/>
          <w:sz w:val="18"/>
        </w:rPr>
        <w:t xml:space="preserve">Stand: 07.11.2024 (konsolidierte Textfassung, kein amtliches Inkrafttretensdatum)</w:t>
      </w:r>
    </w:p>
    <w:p>
      <w:r>
        <w:t xml:space="preserve">Die Durchsetzungsbehörde und das Bundeskartellamt können unabhängig von der jeweils gewählten Verfahrensart untereinander Informationen einschließlich personenbezogener Daten und Betriebs- und Geschäftsgeheimnisse austauschen, soweit dies zur Erfüllung ihrer jeweiligen Aufgaben erforderlich ist, sowie diese in ihren Verfahren verwerten. Beweisverwertungsverbote bleiben unberührt.</w:t>
      </w:r>
    </w:p>
    <w:p>
      <w:r>
        <w:rPr>
          <w:color w:val="555555"/>
          <w:sz w:val="17"/>
        </w:rPr>
        <w:t xml:space="preserve">Zitiervorschlag: § 28a AgrarMSG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https://recht.nulegal.eu/gesetze/AgrarMSG/28a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