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AgrarMSG — Anwendbarkeit des Gesetzes gegen Wettbewerbsbeschränkungen</w:t>
      </w:r>
    </w:p>
    <w:p>
      <w:r>
        <w:rPr>
          <w:color w:val="555555"/>
          <w:sz w:val="18"/>
        </w:rPr>
        <w:t xml:space="preserve">Agrarorganisationen-und-Lieferketten-Gesetz</w:t>
      </w:r>
    </w:p>
    <w:p>
      <w:r>
        <w:rPr>
          <w:color w:val="555555"/>
          <w:sz w:val="18"/>
        </w:rPr>
        <w:t xml:space="preserve">Stand: 02.12.2022 (konsolidierte Textfassung, kein amtliches Inkrafttretensdatum)</w:t>
      </w:r>
    </w:p>
    <w:p>
      <w:r>
        <w:t xml:space="preserve">Die Vorschriften des Gesetzes gegen Wettbewerbsbeschränkungen, insbesondere die §§ 19 und 20 des Gesetzes gegen Wettbewerbsbeschränkungen, sowie die Aufgaben, Befugnisse und Zuständigkeiten des Bundeskartellamts bleiben unberührt.</w:t>
      </w:r>
    </w:p>
    <w:p>
      <w:r>
        <w:rPr>
          <w:color w:val="555555"/>
          <w:sz w:val="17"/>
        </w:rPr>
        <w:t xml:space="preserve">Zitiervorschlag: § 24 AgrarMSG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