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AgrarMSG — Vorlage einer Zahlungen- und Kostenschätzung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07.11.2024 (konsolidierte Textfassung, kein amtliches Inkrafttretensdatum)</w:t>
      </w:r>
    </w:p>
    <w:p>
      <w:r>
        <w:t xml:space="preserve">Wurden Zahlungen oder Preisnachlässe nach § 20 Absatz 1 Nummer 2 zwischen Käufer und Lieferant vereinbart, kann der Lieferant verlangen, dass ihm der Käufer folgende Informationen in Textform übermittelt:</w:t>
      </w:r>
    </w:p>
    <w:p>
      <w:pPr>
        <w:ind w:left="420"/>
      </w:pPr>
      <w:r>
        <w:t xml:space="preserve">1. eine Schätzung</w:t>
      </w:r>
    </w:p>
    <w:p>
      <w:pPr>
        <w:ind w:left="780"/>
      </w:pPr>
      <w:r>
        <w:t xml:space="preserve">a) der Höhe der vereinbarten Zahlungen und Preisnachlässe je Einheit und der Anzahl der Einheiten oder,</w:t>
      </w:r>
    </w:p>
    <w:p>
      <w:pPr>
        <w:ind w:left="780"/>
      </w:pPr>
      <w:r>
        <w:t xml:space="preserve">b) sofern eine Schätzung nach Buchstabe a nicht möglich ist, der Höhe der Zahlungen und Preisnachlässe insgesamt sowie</w:t>
      </w:r>
    </w:p>
    <w:p>
      <w:pPr>
        <w:ind w:left="420"/>
      </w:pPr>
      <w:r>
        <w:t xml:space="preserve">2. eine begründete Kostenschätzung.</w:t>
      </w:r>
    </w:p>
    <w:p>
      <w:r>
        <w:t xml:space="preserve">Satz 1 Nummer 2 gilt nicht für Vereinbarungen zu Preisnachlässen im Rahmen von Verkaufsaktionen.</w:t>
      </w:r>
    </w:p>
    <w:p>
      <w:r>
        <w:rPr>
          <w:color w:val="555555"/>
          <w:sz w:val="17"/>
        </w:rPr>
        <w:t xml:space="preserve">Zitiervorschlag: § 21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