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AgrarMSG — Bestätigung des Vertragsinhalts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Der Käufer hat dem Lieferanten auf Verlangen den Inhalt eines mündlich geschlossenen Liefervertrages oder einer diesem zugrunde liegenden mündlich geschlossenen Rahmenvereinbarung in Textform zu bestätigen. Satz 1 gilt auch für mündlich geschlossene Nebenabreden zu einem Vertrag. Der Inhalt einer dem Liefervertrag zugrunde liegenden Rahmenvereinbarung muss nicht nach Satz 1 bestätigt werden, wenn</w:t>
      </w:r>
    </w:p>
    <w:p>
      <w:pPr>
        <w:ind w:left="420"/>
      </w:pPr>
      <w:r>
        <w:t xml:space="preserve">1. der Käufer ein Erzeugerzusammenschluss ist, dem der Lieferant angehört, und</w:t>
      </w:r>
    </w:p>
    <w:p>
      <w:pPr>
        <w:ind w:left="420"/>
      </w:pPr>
      <w:r>
        <w:t xml:space="preserve">2. dem Liefervertrag die für die Mitglieder des Erzeugerzusammenschlusses geltenden Bestimmungen zugrunde liegen.</w:t>
      </w:r>
    </w:p>
    <w:p>
      <w:r>
        <w:rPr>
          <w:color w:val="555555"/>
          <w:sz w:val="17"/>
        </w:rPr>
        <w:t xml:space="preserve">Zitiervorschlag: § 19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