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AgrarMSG — Androhung von Vergeltungsmaßnahmen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Der Käufer darf dem Lieferanten keine Vergeltungsmaßnahmen geschäftlicher Art androhen oder derartige Maßnahmen gegen den Lieferanten ergreifen, wenn der Lieferant</w:t>
      </w:r>
    </w:p>
    <w:p>
      <w:pPr>
        <w:ind w:left="420"/>
      </w:pPr>
      <w:r>
        <w:t xml:space="preserve">1. seine vertraglichen oder gesetzlichen Rechte geltend macht, einschließlich der Ausübung seines Beschwerderechts nach § 25, oder</w:t>
      </w:r>
    </w:p>
    <w:p>
      <w:pPr>
        <w:ind w:left="420"/>
      </w:pPr>
      <w:r>
        <w:t xml:space="preserve">2. seine gesetzlichen Pflichten erfüllt, einschließlich seiner Pflicht zu einer Zusammenarbeit mit der Durchsetzungsbehörde im Rahmen einer Untersuchung von Amts wegen.</w:t>
      </w:r>
    </w:p>
    <w:p>
      <w:r>
        <w:rPr>
          <w:color w:val="555555"/>
          <w:sz w:val="17"/>
        </w:rPr>
        <w:t xml:space="preserve">Zitiervorschlag: § 18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