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AgrarMSG — Vereinbarung über einseitige Vertragsänderung</w:t>
      </w:r>
    </w:p>
    <w:p>
      <w:r>
        <w:rPr>
          <w:color w:val="555555"/>
          <w:sz w:val="18"/>
        </w:rPr>
        <w:t xml:space="preserve">Agrarorganisationen-und-Lieferketten-Gesetz</w:t>
      </w:r>
    </w:p>
    <w:p>
      <w:r>
        <w:rPr>
          <w:color w:val="555555"/>
          <w:sz w:val="18"/>
        </w:rPr>
        <w:t xml:space="preserve">Stand: 02.12.2022 (konsolidierte Textfassung, kein amtliches Inkrafttretensdatum)</w:t>
      </w:r>
    </w:p>
    <w:p>
      <w:r>
        <w:t xml:space="preserve">Der Käufer kann mit dem Lieferanten nicht wirksam vereinbaren, dass der Käufer den Vertrag über die Lieferung von Agrar-, Fischerei- oder Lebensmittelerzeugnissen einseitig ändern kann in Bezug auf</w:t>
      </w:r>
    </w:p>
    <w:p>
      <w:pPr>
        <w:ind w:left="420"/>
      </w:pPr>
      <w:r>
        <w:t xml:space="preserve">1. die Häufigkeit, die Art und Weise, den Ort, den Zeitpunkt oder den Umfang der Lieferung,</w:t>
      </w:r>
    </w:p>
    <w:p>
      <w:pPr>
        <w:ind w:left="420"/>
      </w:pPr>
      <w:r>
        <w:t xml:space="preserve">2. die Qualitätsstandards der Erzeugnisse,</w:t>
      </w:r>
    </w:p>
    <w:p>
      <w:pPr>
        <w:ind w:left="420"/>
      </w:pPr>
      <w:r>
        <w:t xml:space="preserve">3. die Zahlungsbedingungen,</w:t>
      </w:r>
    </w:p>
    <w:p>
      <w:pPr>
        <w:ind w:left="420"/>
      </w:pPr>
      <w:r>
        <w:t xml:space="preserve">4. die Preise,</w:t>
      </w:r>
    </w:p>
    <w:p>
      <w:pPr>
        <w:ind w:left="420"/>
      </w:pPr>
      <w:r>
        <w:t xml:space="preserve">5. die Lagerung der Erzeugnisse,</w:t>
      </w:r>
    </w:p>
    <w:p>
      <w:pPr>
        <w:ind w:left="420"/>
      </w:pPr>
      <w:r>
        <w:t xml:space="preserve">6. die Listung der Erzeugnisse,</w:t>
      </w:r>
    </w:p>
    <w:p>
      <w:pPr>
        <w:ind w:left="420"/>
      </w:pPr>
      <w:r>
        <w:t xml:space="preserve">7. die Vermarktung der Erzeugnisse, einschließlich Verkaufsangeboten, der Werbung, Preisnachlässen im Rahmen von Verkaufsaktionen sowie der Bereitstellung auf dem Markt, oder</w:t>
      </w:r>
    </w:p>
    <w:p>
      <w:pPr>
        <w:ind w:left="420"/>
      </w:pPr>
      <w:r>
        <w:t xml:space="preserve">8. die Kostenregelung für das Einrichten der Räumlichkeiten des Käufers, in denen die Erzeugnisse des Lieferanten verkauft werden.</w:t>
      </w:r>
    </w:p>
    <w:p>
      <w:r>
        <w:rPr>
          <w:color w:val="555555"/>
          <w:sz w:val="17"/>
        </w:rPr>
        <w:t xml:space="preserve">Zitiervorschlag: § 15 AgrarMSG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https://recht.nulegal.eu/gesetze/AgrarMSG/15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