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11 AgrarMSG — Zahlungsfristen</w:t>
      </w:r>
    </w:p>
    <w:p>
      <w:r>
        <w:rPr>
          <w:color w:val="555555"/>
          <w:sz w:val="18"/>
        </w:rPr>
        <w:t xml:space="preserve">Agrarorganisationen-und-Lieferketten-Gesetz</w:t>
      </w:r>
    </w:p>
    <w:p>
      <w:r>
        <w:rPr>
          <w:color w:val="555555"/>
          <w:sz w:val="18"/>
        </w:rPr>
        <w:t xml:space="preserve">Stand: 02.12.2022 (konsolidierte Textfassung, kein amtliches Inkrafttretensdatum)</w:t>
      </w:r>
    </w:p>
    <w:p>
      <w:r>
        <w:t xml:space="preserve">(1) Für Entgeltforderungen aus Verträgen gemäß § 10 Absatz 1 gelten die allgemeinen Vorschriften, soweit nachfolgend nichts anderes bestimmt ist.</w:t>
      </w:r>
    </w:p>
    <w:p>
      <w:r>
        <w:t xml:space="preserve">(2) Der Käufer hat die Zahlung des vereinbarten Preises an den Lieferanten spätestens innerhalb der folgenden Fristen zu leisten:</w:t>
      </w:r>
    </w:p>
    <w:p>
      <w:pPr>
        <w:ind w:left="420"/>
      </w:pPr>
      <w:r>
        <w:t xml:space="preserve">1. für verderbliche Agrar-, Fischerei- oder Lebensmittelerzeugnisse innerhalb von 30 Tagen nach der Lieferung,</w:t>
      </w:r>
    </w:p>
    <w:p>
      <w:pPr>
        <w:ind w:left="420"/>
      </w:pPr>
      <w:r>
        <w:t xml:space="preserve">2. für andere Agrar-, Fischerei- oder Lebensmittelerzeugnisse innerhalb von 60 Tagen nach der Lieferung.</w:t>
      </w:r>
    </w:p>
    <w:p>
      <w:r>
        <w:t xml:space="preserve">Wurde eine regelmäßige Lieferung vereinbart, so beginnt die Frist nach Satz 1 mit Ablauf des vereinbarten Lieferzeitraums, spätestens jedoch einen Monat nach der ersten Lieferung. Käufer und Lieferant können vereinbaren, dass abweichend von Satz 1 der Zeitpunkt des Zugangs einer Rechnung oder gleichwertigen Zahlungsaufstellung an die Stelle des Zeitpunkts der Lieferung oder des Ablaufs des Lieferzeitraums tritt.</w:t>
      </w:r>
    </w:p>
    <w:p>
      <w:r>
        <w:t xml:space="preserve">(3) Absatz 2 gilt nicht für</w:t>
      </w:r>
    </w:p>
    <w:p>
      <w:pPr>
        <w:ind w:left="420"/>
      </w:pPr>
      <w:r>
        <w:t xml:space="preserve">1. Preiselemente, die Gegenstand von Wertaufteilungsklauseln sind, und</w:t>
      </w:r>
    </w:p>
    <w:p>
      <w:pPr>
        <w:ind w:left="420"/>
      </w:pPr>
      <w:r>
        <w:t xml:space="preserve">2. Zahlungen im Rahmen des Schulprogramms gemäß Artikel 23 der Verordnung (EU) Nr. 1308/2013.</w:t>
      </w:r>
    </w:p>
    <w:p>
      <w:r>
        <w:t xml:space="preserve">(4) Längere als die in Absatz 2 genannten Zahlungsfristen können nicht vereinbart werden. Unberührt bleiben gesetzliche Vorschriften, nach denen nur die Vereinbarung kürzerer als der in Absatz 2 genannten Zahlungsfristen zulässig ist.</w:t>
      </w:r>
    </w:p>
    <w:p>
      <w:r>
        <w:t xml:space="preserve">(5) § 271a Absatz 2 Nummer 1 des Bürgerlichen Gesetzbuchs gilt auch, wenn der Schuldner eine Behörde ist.</w:t>
      </w:r>
    </w:p>
    <w:p>
      <w:r>
        <w:t xml:space="preserve">(6) Abweichend von § 286 Absatz 3 Satz 1 des Bürgerlichen Gesetzbuchs kommt der Schuldner spätestens in Verzug, wenn er nicht innerhalb von 30 Tagen nach dem sich aus Absatz 2 ergebenden Fristbeginn leistet.</w:t>
      </w:r>
    </w:p>
    <w:p>
      <w:r>
        <w:rPr>
          <w:color w:val="555555"/>
          <w:sz w:val="17"/>
        </w:rPr>
        <w:t xml:space="preserve">Zitiervorschlag: § 11 AgrarMSG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https://recht.nulegal.eu/gesetze/AgrarMSG/11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