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8 AgrarGeoSchDG — Einzelerzeuger und Behörden an Stelle von Erzeugervereinigungen; Unterstützung durch öffentliche Stellen; Verordnungsermächtigung</w:t>
      </w:r>
    </w:p>
    <w:p>
      <w:r>
        <w:rPr>
          <w:color w:val="555555"/>
          <w:sz w:val="18"/>
        </w:rPr>
        <w:t xml:space="preserve">Agrargeoschutz-Durchführungsgesetz</w:t>
      </w:r>
    </w:p>
    <w:p>
      <w:r>
        <w:rPr>
          <w:color w:val="555555"/>
          <w:sz w:val="18"/>
        </w:rPr>
        <w:t xml:space="preserve">Stand: 16.01.2026 (konsolidierte Textfassung, kein amtliches Inkrafttretensdatum)</w:t>
      </w:r>
    </w:p>
    <w:p>
      <w:r>
        <w:t xml:space="preserve">(1) Das Bundesministerium wird ermächtigt, durch Rechtsverordnung, die der Zustimmung des Bundesrates bedarf, das Unionsrecht konkretisierende und ergänzende Bestimmungen zur Geltung von Einzelerzeugern als Erzeugervereinigung zu treffen, soweit dies zur Durchführung des Agrargeoschutzrechts, insbesondere des Artikels 9 Absatz 3, des Artikels 33 Absatz 1 Satz 4 und des Artikels 56 Absatz 1 Satz 2 der Verordnung (EU) 2024/1143, erforderlich oder zweckmäßig ist. In einer Rechtsverordnung nach Satz 1 können insbesondere geregelt werden:</w:t>
      </w:r>
    </w:p>
    <w:p>
      <w:pPr>
        <w:ind w:left="420"/>
      </w:pPr>
      <w:r>
        <w:t xml:space="preserve">1. das Antragsverfahren zur Benennung als Einzelerzeuger;</w:t>
      </w:r>
    </w:p>
    <w:p>
      <w:pPr>
        <w:ind w:left="420"/>
      </w:pPr>
      <w:r>
        <w:t xml:space="preserve">2. die von den Antragstellern zu erfüllenden Nachweis- und Mitteilungspflichten.</w:t>
      </w:r>
    </w:p>
    <w:p>
      <w:r>
        <w:t xml:space="preserve">Ein Einzelerzeuger, der nicht als Erzeugervereinigung gilt, darf sich nicht als Erzeugervereinigung bezeichnen.</w:t>
      </w:r>
    </w:p>
    <w:p>
      <w:r>
        <w:t xml:space="preserve">(2) Soweit eine Behörde mit den Aufgaben einer Erzeugervereinigung betraut werden darf, obliegt die Entscheidung über die Betrauung und die Benennung entsprechender Landesbehörden den Ländern. Das Bundesministerium wird ermächtigt, durch Rechtsverordnung, die der Zustimmung des Bundesrates bedarf, das Unionsrecht konkretisierende und ergänzende Bestimmungen zur Betrauung, insbesondere im Sinne des Artikels 9 Absatz 2 oder des Artikels 32 Absatz 6 Satz 1 der Verordnung (EU) 2024/1143 zu treffen, soweit dies zur Durchführung des Agrargeoschutzrechts erforderlich oder zweckmäßig ist. In einer Rechtsverordnung nach Satz 2 kann die Ermächtigung des Satzes 2 in Bezug auf einzelne Erzeugnisbereiche oder auf einen Teil eines Erzeugnisbereichs auf die Landesregierungen übertragen werden. Landesrechtliche Regelungen nach Satz 3 gehen vorhandenen bundesrechtlichen Bestimmungen vor.</w:t>
      </w:r>
    </w:p>
    <w:p>
      <w:r>
        <w:t xml:space="preserve">(3) Für Fälle, in denen sich das geografische Gebiet von Schutzbezeichnungen auf das gesamte Hoheitsgebiet der Bundesrepublik Deutschland erstreckt, kann in einer Rechtsverordnung nach Absatz 2 Satz 2 die Entscheidung über die Betrauung abweichend von Absatz 2 Satz 1 dem Bundesministerium übertragen werden. Erfolgt eine Übertragung nach Satz 1, benennt das Bundesministerium eine Behörde des Bundes. Soweit die benannte Behörde nicht im Verantwortungsbereich des Bundesministeriums liegt, bedarf die Rechtsverordnung nach Absatz 2 Satz 2 des Einvernehmens des betreffenden Bundesministeriums. War vor der Benennung der Behörde des Bundes die Behörde eines Landes benannt, erlischt die Betrauung dieser Behörde. Für die Fälle des Satzes 4 können in einer Rechtsverordnung nach Absatz 2 Satz 2 Übergangsbestimmungen getroffen werden.</w:t>
      </w:r>
    </w:p>
    <w:p>
      <w:r>
        <w:t xml:space="preserve">(4) Erzeugervereinigungen dürfen bei der Vorbereitung von Anträgen und in sonstiger Weise von öffentlichen Stellen unterstützt werden. Das Bundesministerium wird ermächtigt, durch Rechtsverordnung ohne Zustimmung des Bundesrates die Art und Weise der Unterstützung zu regeln, soweit dies für die Durchführung des Agrargeoschutzrechts, insbesondere im Sinne des Artikels 32 Absatz 5, erforderlich oder zweckmäßig ist. Soweit für die Unterstützung öffentliche Stellen der Länder zuständig sind, bedarf die Rechtsverordnung nach Satz 2 der Zustimmung des Bundesrates. Im Falle einer Zuständigkeit der Länder im Sinne des Satzes 3 kann in einer Rechtsverordnung nach Satz 2, die der Zustimmung des Bundesrates bedarf, die Ermächtigung des Satzes 2 auf die Landesregierungen übertragen werden. Landesrechtliche Regelungen nach Satz 4 gehen vorhandenen bundesrechtlichen Bestimmungen vor.</w:t>
      </w:r>
    </w:p>
    <w:p>
      <w:r>
        <w:rPr>
          <w:color w:val="555555"/>
          <w:sz w:val="17"/>
        </w:rPr>
        <w:t xml:space="preserve">Zitiervorschlag: § 8 AgrarGeoSchDG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https://recht.nulegal.eu/gesetze/AgrarGeoSchDG/8</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