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AgrarGeoSchDG — Anerkannte Erzeugervereinigungen in einzelnen Ländern;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In einer Rechtsverordnung nach § 5 Absatz 1 kann die Ermächtigung des § 5 Absatz 1 in Bezug auf alle Erzeugnisbereiche oder einzelne Erzeugnisbereiche oder einen Teil eines Erzeugnisbereichs auf die Landesregierungen übertragen werden. Satz 1 gilt nicht für § 5 Absatz 4 Nummer 10. Sieht ein Land ein Anerkennungssystem vor, ist es nur auf Erzeugervereinigungen anzuwenden, die eine Schutzbezeichnung betreuen, deren geografisches Gebiet sich ganz oder teilweise in dem betreffenden Land befindet, und die ihren Hauptsitz in dem betreffenden Land nehmen. Erstreckt sich ein geografisches Gebiet auf mehr als ein Land, bedarf die Anerkennung einer Erzeugervereinigung der Zustimmung aller anderen betroffenen Länder. Die Zustimmung darf nur aus Sachgründen verweigert werden.</w:t>
      </w:r>
    </w:p>
    <w:p>
      <w:r>
        <w:t xml:space="preserve">(2) Besteht für einen Erzeugnisbereich oder den Teil eines Erzeugnisbereichs ein Anerkennungssystem eines Landes und tritt anschließend ein diesbezügliches Anerkennungssystem durch Bundesrecht in Kraft,</w:t>
      </w:r>
    </w:p>
    <w:p>
      <w:pPr>
        <w:ind w:left="420"/>
      </w:pPr>
      <w:r>
        <w:t xml:space="preserve">1. dürfen keine neuen Anerkennungen auf der Grundlage des Landesrechts ausgesprochen werden und</w:t>
      </w:r>
    </w:p>
    <w:p>
      <w:pPr>
        <w:ind w:left="420"/>
      </w:pPr>
      <w:r>
        <w:t xml:space="preserve">2. gelten bestehende Anerkennungen als Anerkennungen nach Bundesrecht.</w:t>
      </w:r>
    </w:p>
    <w:p>
      <w:r>
        <w:t xml:space="preserve">(3) Sofern eine nach Landesrecht anerkannte Erzeugervereinigung nicht alle bundesrechtlichen Voraussetzungen für eine Anerkennung erfüllt, hat sie sich innerhalb von zwei Jahren nach Inkrafttreten der Rechtsverordnung des Bundes an die bundesrechtlichen Vorgaben anzupassen. Anderenfalls erlöschen die entsprechenden Anerkennungen mit Ablauf des zweiten Jahres. Das Bundesministerium wird ermächtigt, durch Rechtsverordnung, die der Zustimmung des Bundesrates bedarf, unter Berücksichtigung der Verwaltungserfordernisse der Länder und der Interessen der betroffenen Erzeugervereinigungen Übergangsbestimmungen, auch unter Abweichung von den Sätzen 1 und 2, zu treffen.</w:t>
      </w:r>
    </w:p>
    <w:p>
      <w:r>
        <w:t xml:space="preserve">(4) Um besonderen regionalen Gegebenheiten Rechnung zu tragen, kann in einer Rechtsverordnung nach § 5 Absatz 1 Nummer 2 die Ermächtigung nach § 5 Absatz 1 Nummer 2 in Bezug auf Vorgaben gemäß § 5 Absatz 4 Nummer 3 Buchstabe b und c auf die Landesregierungen hinsichtlich einzelner Erzeugnisbereiche oder Teile eines Erzeugnisbereichs übertragen werden. Landesrechtliche Vorgaben gehen bundesrechtlichen Bestimmungen vor und gelten nur für Erzeugervereinigungen, die eine Schutzbezeichnung betreuen, deren geografisches Gebiet sich ausschließlich in dem betreffenden Land befindet. Werden anschließend die Vorgaben durch Bundesrecht geregelt, gilt Absatz 3 entsprechend.</w:t>
      </w:r>
    </w:p>
    <w:p>
      <w:r>
        <w:rPr>
          <w:color w:val="555555"/>
          <w:sz w:val="17"/>
        </w:rPr>
        <w:t xml:space="preserve">Zitiervorschlag: § 6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