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44 AgrarGeoSchDG — Ausschluss abweichenden Landesrechts</w:t>
      </w:r>
    </w:p>
    <w:p>
      <w:r>
        <w:rPr>
          <w:color w:val="555555"/>
          <w:sz w:val="18"/>
        </w:rPr>
        <w:t xml:space="preserve">Agrargeoschutz-Durchführungsgesetz</w:t>
      </w:r>
    </w:p>
    <w:p>
      <w:r>
        <w:rPr>
          <w:color w:val="555555"/>
          <w:sz w:val="18"/>
        </w:rPr>
        <w:t xml:space="preserve">Stand: 16.01.2026 (konsolidierte Textfassung, kein amtliches Inkrafttretensdatum)</w:t>
      </w:r>
    </w:p>
    <w:p>
      <w:r>
        <w:t xml:space="preserve">Von den bundesrechtlichen Regelungen des Verwaltungsverfahrens, die auf der Grundlage des Teils 2 Abschnitt 1 und 4 sowie der §§ 25, 27, 28, 31 und 37 getroffen wurden, kann durch Landesrecht nicht abgewichen werden, soweit nicht in diesem Gesetz eine Abweichung ausdrücklich vorgesehen ist.</w:t>
      </w:r>
    </w:p>
    <w:p>
      <w:r>
        <w:rPr>
          <w:color w:val="555555"/>
          <w:sz w:val="17"/>
        </w:rPr>
        <w:t xml:space="preserve">Zitiervorschlag: § 44 AgrarGeoSchDG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https://recht.nulegal.eu/gesetze/AgrarGeoSchDG/44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