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AgrarGeoSchDG — Geändertes Unionsrecht; Rechtsverordnungen in besonderen Fällen; Verordnungsermächtigung</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(1) Wird eine in einer Vorschrift dieses Gesetzes oder in einer aufgrund dieses Gesetzes erlassenen Rechtsverordnung des Bundes (innerstaatliche Vorschrift) genannte Vorschrift eines unmittelbar geltenden Rechtsakts der Europäischen Union aufgehoben oder für nicht mehr anwendbar erklärt, werden Ordnungswidrigkeiten nach § 40, die bis zum Zeitpunkt der Aufhebung oder der Nichtanwendung begangen worden sind, abweichend von § 4 Absatz 3 des Gesetzes über Ordnungswidrigkeiten nach den zum Zeitpunkt der Tat geltenden Bestimmungen geahndet.</w:t>
      </w:r>
    </w:p>
    <w:p>
      <w:r>
        <w:t xml:space="preserve">(2) Das Bundesministerium wird ermächtigt, durch Rechtsverordnung ohne Zustimmung des Bundesrates</w:t>
      </w:r>
    </w:p>
    <w:p>
      <w:pPr>
        <w:ind w:left="420"/>
      </w:pPr>
      <w:r>
        <w:t xml:space="preserve">1. den Verweis in einer innerstaatlichen Vorschrift des Agrargeoschutzrechts auf eine Vorschrift in einem Rechtsakt</w:t>
      </w:r>
    </w:p>
    <w:p>
      <w:pPr>
        <w:ind w:left="780"/>
      </w:pPr>
      <w:r>
        <w:t xml:space="preserve">a) der Europäischen Union zu ändern, soweit es zur Anpassung an eine Änderung dieser Vorschrift erforderlich ist, oder</w:t>
      </w:r>
    </w:p>
    <w:p>
      <w:pPr>
        <w:ind w:left="780"/>
      </w:pPr>
      <w:r>
        <w:t xml:space="preserve">b) der Europäischen Union, die durch eine inhaltsgleiche Vorschrift der Europäischen Union ersetzt worden ist, durch den Verweis auf die ersetzende Vorschrift anzupassen,</w:t>
      </w:r>
    </w:p>
    <w:p>
      <w:pPr>
        <w:ind w:left="420"/>
      </w:pPr>
      <w:r>
        <w:t xml:space="preserve">2. eine innerstaatliche Vorschrift des Agrargeoschutzrechts zu streichen oder in ihrem Wortlaut einem verbleibenden Anwendungsbereich anzupassen, soweit sie durch den Erlass entsprechenden unmittelbar anwendbaren Unionsrechts unanwendbar geworden ist, oder</w:t>
      </w:r>
    </w:p>
    <w:p>
      <w:pPr>
        <w:ind w:left="420"/>
      </w:pPr>
      <w:r>
        <w:t xml:space="preserve">3. den Wortlaut in einer innerstaatlichen Vorschrift des Agrargeoschutzrechts an eine Berichtigung des Unionsrechts anzupassen.</w:t>
      </w:r>
    </w:p>
    <w:p>
      <w:r>
        <w:t xml:space="preserve">(3) Rechtsverordnungen des Bundes nach diesem Gesetz dürfen auch ohne Zustimmung des Bundesrates erlassen werden, wenn</w:t>
      </w:r>
    </w:p>
    <w:p>
      <w:pPr>
        <w:ind w:left="420"/>
      </w:pPr>
      <w:r>
        <w:t xml:space="preserve">1. ihr unverzügliches Inkrafttreten zur Durchführung des Unionsrechts erforderlich ist und</w:t>
      </w:r>
    </w:p>
    <w:p>
      <w:pPr>
        <w:ind w:left="420"/>
      </w:pPr>
      <w:r>
        <w:t xml:space="preserve">2. ihre Geltungsdauer auf einen bestimmten Zeitraum von höchstens sechs Monaten begrenzt wird.</w:t>
      </w:r>
    </w:p>
    <w:p>
      <w:r>
        <w:t xml:space="preserve">(4) Soweit es zur besseren Lesbarkeit erforderlich ist, wird das Bundesministerium ermächtigt, durch Rechtsverordnung ohne Zustimmung des Bundesrates in aufgrund dieses Gesetzes erlassenen Rechtsverordnungen des Bundes die Inhaltsübersicht, die Einzelvorschriften, deren Untergliederungen und die Anlagen mit neuen Ordnungszeichen zu versehen und die übrigen Gliederungseinheiten entsprechend anzupassen. Inhaltliche Änderungen dürfen dabei nicht vorgenommen werden.</w:t>
      </w:r>
    </w:p>
    <w:p>
      <w:r>
        <w:rPr>
          <w:color w:val="555555"/>
          <w:sz w:val="17"/>
        </w:rPr>
        <w:t xml:space="preserve">Zitiervorschlag: § 43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