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AgrarGeoSchDG — Beiziehung eines Patentanwalts</w:t>
      </w:r>
    </w:p>
    <w:p>
      <w:r>
        <w:rPr>
          <w:color w:val="555555"/>
          <w:sz w:val="18"/>
        </w:rPr>
        <w:t xml:space="preserve">Agrargeoschutz-Durchführungsgesetz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In Verfahren vor dem Verwaltungsgericht, die Schutzrechte betreffen, die sich aus Schutzbezeichnungen im Sinne des § 1 Absatz 2 oder 5 ableiten, können sich die Beteiligten durch einen Patentanwalt vertreten lassen. Einem Beteiligten, dem Prozesskostenhilfe bewilligt worden ist, kann in Verfahren nach Satz 1 auch ein Patentanwalt beigeordnet werden.</w:t>
      </w:r>
    </w:p>
    <w:p>
      <w:r>
        <w:t xml:space="preserve">(2) Von den Kosten, die durch die Mitwirkung eines Patentanwalts nach Absatz 1 entstehen, sind die Gebühren nach § 13 des Rechtsanwaltsvergütungsgesetzes und außerdem die notwendigen Auslagen des Patentanwalts zu erstatten.</w:t>
      </w:r>
    </w:p>
    <w:p>
      <w:r>
        <w:rPr>
          <w:color w:val="555555"/>
          <w:sz w:val="17"/>
        </w:rPr>
        <w:t xml:space="preserve">Zitiervorschlag: § 39 AgrarGeoSchDG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https://recht.nulegal.eu/gesetze/AgrarGeoSchDG/39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