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38 AgrarGeoSchDG — Kennzeichenstreitsachen</w:t>
      </w:r>
    </w:p>
    <w:p>
      <w:r>
        <w:rPr>
          <w:color w:val="555555"/>
          <w:sz w:val="18"/>
        </w:rPr>
        <w:t xml:space="preserve">Agrargeoschutz-Durchführungsgesetz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Alle Klagen, durch die ein Anspruch aus § 29 dieses Gesetzes geltend gemacht wird, gelten als Verfahren in Kennzeichenstreitsachen im Sinne des Teils 8 des Markengesetzes.</w:t>
      </w:r>
    </w:p>
    <w:p>
      <w:r>
        <w:rPr>
          <w:color w:val="555555"/>
          <w:sz w:val="17"/>
        </w:rPr>
        <w:t xml:space="preserve">Zitiervorschlag: § 38 AgrarGeoSchDG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https://recht.nulegal.eu/gesetze/AgrarGeoSchDG/38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38 AgrarGeoSchDG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