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AgrarGeoSchDG — Verfahren im Rahmen der Genfer Akte;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Im Rahmen der Verordnung (EU) 2019/1753 ist die Bundesanstalt, sofern ein Erzeugnis im Sinne dieses Gesetzes betroffen ist, zuständig für:</w:t>
      </w:r>
    </w:p>
    <w:p>
      <w:pPr>
        <w:ind w:left="420"/>
      </w:pPr>
      <w:r>
        <w:t xml:space="preserve">1. Anträge auf Eintragungsersuchen nach Artikel 2 Absatz 2, auch in Verbindung mit Absatz 2a;</w:t>
      </w:r>
    </w:p>
    <w:p>
      <w:pPr>
        <w:ind w:left="420"/>
      </w:pPr>
      <w:r>
        <w:t xml:space="preserve">2. Löschungsanträge nach Artikel 3 Absatz 1 Buchstabe b;</w:t>
      </w:r>
    </w:p>
    <w:p>
      <w:pPr>
        <w:ind w:left="420"/>
      </w:pPr>
      <w:r>
        <w:t xml:space="preserve">3. Einsprüche nach Artikel 6 Absatz 1 Unterabsatz 1;</w:t>
      </w:r>
    </w:p>
    <w:p>
      <w:pPr>
        <w:ind w:left="420"/>
      </w:pPr>
      <w:r>
        <w:t xml:space="preserve">4. Rücknahmeanträge nach Artikel 7 Absatz 5 Unterabsatz 1 Satz 1 Variante 2;</w:t>
      </w:r>
    </w:p>
    <w:p>
      <w:pPr>
        <w:ind w:left="420"/>
      </w:pPr>
      <w:r>
        <w:t xml:space="preserve">5. Ungültigerklärungen nach Artikel 9 Absatz 1 Variante 2.</w:t>
      </w:r>
    </w:p>
    <w:p>
      <w:r>
        <w:t xml:space="preserve">(2) Die Zuständigkeit nach Absatz 1 umfasst auch Verfahren betreffend die Regel 15 (Änderungen) und die Regel 16 (Schutzverzicht) der Gemeinsamen Ausführungsordnung vom 2. Oktober 2018 zum Lissabonner Abkommen über den Schutz der Ursprungsbezeichnungen und ihre internationale Registrierung und zur Genfer Akte des Lissabonner Abkommens über Ursprungsbezeichnungen und geografische Angaben.</w:t>
      </w:r>
    </w:p>
    <w:p>
      <w:r>
        <w:t xml:space="preserve">(3) Das Bundesministerium wird ermächtigt, durch Rechtsverordnung ohne Zustimmung des Bundesrates die Einzelheiten der Verfahren nach den Absätzen 1 und 2 zu regeln, insbesondere die Einholung von Stellungnahmen bei den in § 11 Absatz 3 Nummer 6 Buchstabe d genannten Stellen und die Befassung eines nach § 11 Absatz 3 Nummer 6 eingerichteten Fachausschusses.</w:t>
      </w:r>
    </w:p>
    <w:p>
      <w:r>
        <w:rPr>
          <w:color w:val="555555"/>
          <w:sz w:val="17"/>
        </w:rPr>
        <w:t xml:space="preserve">Zitiervorschlag: § 36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